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97B29" w14:textId="77777777" w:rsidR="00156CFC" w:rsidRDefault="00156CFC" w:rsidP="0049126A">
      <w:pPr>
        <w:jc w:val="center"/>
        <w:rPr>
          <w:b/>
          <w:sz w:val="32"/>
          <w:szCs w:val="32"/>
          <w:u w:val="single"/>
        </w:rPr>
      </w:pPr>
    </w:p>
    <w:p w14:paraId="0496C02B" w14:textId="77777777" w:rsidR="00156CFC" w:rsidRDefault="00156CFC" w:rsidP="0049126A">
      <w:pPr>
        <w:jc w:val="center"/>
        <w:rPr>
          <w:b/>
          <w:sz w:val="32"/>
          <w:szCs w:val="32"/>
          <w:u w:val="single"/>
        </w:rPr>
      </w:pPr>
    </w:p>
    <w:p w14:paraId="2656F73B" w14:textId="77777777" w:rsidR="00156CFC" w:rsidRDefault="00156CFC" w:rsidP="0049126A">
      <w:pPr>
        <w:jc w:val="center"/>
        <w:rPr>
          <w:b/>
          <w:sz w:val="32"/>
          <w:szCs w:val="32"/>
          <w:u w:val="single"/>
        </w:rPr>
      </w:pPr>
    </w:p>
    <w:p w14:paraId="71576274" w14:textId="77777777" w:rsidR="00156CFC" w:rsidRDefault="00156CFC" w:rsidP="0049126A">
      <w:pPr>
        <w:jc w:val="center"/>
        <w:rPr>
          <w:b/>
          <w:sz w:val="32"/>
          <w:szCs w:val="32"/>
          <w:u w:val="single"/>
        </w:rPr>
      </w:pPr>
    </w:p>
    <w:p w14:paraId="4068FC0B" w14:textId="77777777" w:rsidR="00156CFC" w:rsidRDefault="00156CFC" w:rsidP="0049126A">
      <w:pPr>
        <w:jc w:val="center"/>
        <w:rPr>
          <w:b/>
          <w:sz w:val="32"/>
          <w:szCs w:val="32"/>
          <w:u w:val="single"/>
        </w:rPr>
      </w:pPr>
    </w:p>
    <w:p w14:paraId="169A0E3C" w14:textId="77777777" w:rsidR="00156CFC" w:rsidRDefault="00156CFC" w:rsidP="0049126A">
      <w:pPr>
        <w:jc w:val="center"/>
        <w:rPr>
          <w:b/>
          <w:sz w:val="32"/>
          <w:szCs w:val="32"/>
          <w:u w:val="single"/>
        </w:rPr>
      </w:pPr>
      <w:r>
        <w:rPr>
          <w:b/>
          <w:sz w:val="32"/>
          <w:szCs w:val="32"/>
          <w:u w:val="single"/>
        </w:rPr>
        <w:t>Standard Operating Procedure</w:t>
      </w:r>
    </w:p>
    <w:p w14:paraId="2F20DE47" w14:textId="77777777" w:rsidR="00F002E3" w:rsidRPr="0049126A" w:rsidRDefault="007340ED" w:rsidP="0049126A">
      <w:pPr>
        <w:jc w:val="center"/>
        <w:rPr>
          <w:b/>
          <w:sz w:val="32"/>
          <w:szCs w:val="32"/>
          <w:u w:val="single"/>
        </w:rPr>
      </w:pPr>
      <w:r>
        <w:rPr>
          <w:b/>
          <w:sz w:val="32"/>
          <w:szCs w:val="32"/>
          <w:u w:val="single"/>
        </w:rPr>
        <w:t xml:space="preserve">PCAL Referral Pathway </w:t>
      </w:r>
      <w:r w:rsidR="00AC34AC">
        <w:rPr>
          <w:b/>
          <w:sz w:val="32"/>
          <w:szCs w:val="32"/>
          <w:u w:val="single"/>
        </w:rPr>
        <w:t xml:space="preserve">to </w:t>
      </w:r>
      <w:r w:rsidR="00376598">
        <w:rPr>
          <w:b/>
          <w:sz w:val="32"/>
          <w:szCs w:val="32"/>
          <w:u w:val="single"/>
        </w:rPr>
        <w:t>Ophthalmology</w:t>
      </w:r>
    </w:p>
    <w:p w14:paraId="1AFC1267" w14:textId="77777777" w:rsidR="00F002E3" w:rsidRPr="0049126A" w:rsidRDefault="00F002E3">
      <w:pPr>
        <w:rPr>
          <w:b/>
          <w:u w:val="single"/>
        </w:rPr>
      </w:pPr>
    </w:p>
    <w:tbl>
      <w:tblPr>
        <w:tblStyle w:val="TableGrid"/>
        <w:tblW w:w="0" w:type="auto"/>
        <w:tblLook w:val="04A0" w:firstRow="1" w:lastRow="0" w:firstColumn="1" w:lastColumn="0" w:noHBand="0" w:noVBand="1"/>
      </w:tblPr>
      <w:tblGrid>
        <w:gridCol w:w="9242"/>
      </w:tblGrid>
      <w:tr w:rsidR="00F002E3" w14:paraId="58B5FE37" w14:textId="77777777" w:rsidTr="00F002E3">
        <w:tc>
          <w:tcPr>
            <w:tcW w:w="9242" w:type="dxa"/>
            <w:shd w:val="clear" w:color="auto" w:fill="8DB3E2" w:themeFill="text2" w:themeFillTint="66"/>
          </w:tcPr>
          <w:p w14:paraId="535AAD44" w14:textId="77777777" w:rsidR="00F002E3" w:rsidRPr="00F002E3" w:rsidRDefault="00F002E3">
            <w:pPr>
              <w:rPr>
                <w:b/>
              </w:rPr>
            </w:pPr>
            <w:r w:rsidRPr="00F002E3">
              <w:rPr>
                <w:b/>
              </w:rPr>
              <w:t>Purpose</w:t>
            </w:r>
          </w:p>
        </w:tc>
      </w:tr>
      <w:tr w:rsidR="00F002E3" w14:paraId="1012F9AC" w14:textId="77777777" w:rsidTr="00F002E3">
        <w:tc>
          <w:tcPr>
            <w:tcW w:w="9242" w:type="dxa"/>
          </w:tcPr>
          <w:p w14:paraId="58E66F20" w14:textId="77777777" w:rsidR="000F282C" w:rsidRDefault="000F282C" w:rsidP="009F2BC4">
            <w:pPr>
              <w:rPr>
                <w:rFonts w:cs="Arial"/>
                <w:szCs w:val="24"/>
              </w:rPr>
            </w:pPr>
          </w:p>
          <w:p w14:paraId="1B421517" w14:textId="77777777" w:rsidR="000F282C" w:rsidRDefault="000F282C" w:rsidP="000F282C">
            <w:pPr>
              <w:rPr>
                <w:rFonts w:cs="Arial"/>
                <w:szCs w:val="24"/>
              </w:rPr>
            </w:pPr>
            <w:r>
              <w:rPr>
                <w:rFonts w:cs="Arial"/>
                <w:szCs w:val="24"/>
              </w:rPr>
              <w:t>P</w:t>
            </w:r>
            <w:r w:rsidR="00E25B3F">
              <w:rPr>
                <w:rFonts w:cs="Arial"/>
                <w:szCs w:val="24"/>
              </w:rPr>
              <w:t xml:space="preserve">rimary </w:t>
            </w:r>
            <w:r>
              <w:rPr>
                <w:rFonts w:cs="Arial"/>
                <w:szCs w:val="24"/>
              </w:rPr>
              <w:t>C</w:t>
            </w:r>
            <w:r w:rsidR="00E25B3F">
              <w:rPr>
                <w:rFonts w:cs="Arial"/>
                <w:szCs w:val="24"/>
              </w:rPr>
              <w:t xml:space="preserve">are </w:t>
            </w:r>
            <w:r>
              <w:rPr>
                <w:rFonts w:cs="Arial"/>
                <w:szCs w:val="24"/>
              </w:rPr>
              <w:t>A</w:t>
            </w:r>
            <w:r w:rsidR="00E25B3F">
              <w:rPr>
                <w:rFonts w:cs="Arial"/>
                <w:szCs w:val="24"/>
              </w:rPr>
              <w:t xml:space="preserve">dvice </w:t>
            </w:r>
            <w:r>
              <w:rPr>
                <w:rFonts w:cs="Arial"/>
                <w:szCs w:val="24"/>
              </w:rPr>
              <w:t>L</w:t>
            </w:r>
            <w:r w:rsidR="00E25B3F">
              <w:rPr>
                <w:rFonts w:cs="Arial"/>
                <w:szCs w:val="24"/>
              </w:rPr>
              <w:t>ine (PCAL)</w:t>
            </w:r>
            <w:r>
              <w:rPr>
                <w:rFonts w:cs="Arial"/>
                <w:szCs w:val="24"/>
              </w:rPr>
              <w:t xml:space="preserve"> provide primary and community based clinicians</w:t>
            </w:r>
            <w:r w:rsidRPr="00114217">
              <w:rPr>
                <w:rFonts w:cs="Arial"/>
                <w:szCs w:val="24"/>
              </w:rPr>
              <w:t xml:space="preserve"> with</w:t>
            </w:r>
            <w:r>
              <w:rPr>
                <w:rFonts w:cs="Arial"/>
                <w:szCs w:val="24"/>
              </w:rPr>
              <w:t xml:space="preserve"> immediate access to a</w:t>
            </w:r>
            <w:r w:rsidRPr="00114217">
              <w:rPr>
                <w:rFonts w:cs="Arial"/>
                <w:szCs w:val="24"/>
              </w:rPr>
              <w:t xml:space="preserve"> consistent and comprehensive</w:t>
            </w:r>
            <w:r w:rsidR="007340ED">
              <w:rPr>
                <w:rFonts w:cs="Arial"/>
                <w:szCs w:val="24"/>
              </w:rPr>
              <w:t xml:space="preserve"> telephone based a</w:t>
            </w:r>
            <w:r>
              <w:rPr>
                <w:rFonts w:cs="Arial"/>
                <w:szCs w:val="24"/>
              </w:rPr>
              <w:t xml:space="preserve">dvice and </w:t>
            </w:r>
            <w:r w:rsidR="007340ED">
              <w:rPr>
                <w:rFonts w:cs="Arial"/>
                <w:szCs w:val="24"/>
              </w:rPr>
              <w:t>triage</w:t>
            </w:r>
            <w:r>
              <w:rPr>
                <w:rFonts w:cs="Arial"/>
                <w:szCs w:val="24"/>
              </w:rPr>
              <w:t xml:space="preserve"> service, as an alternative to sending patients direct to the Emergency Department. </w:t>
            </w:r>
          </w:p>
          <w:p w14:paraId="512FCD80" w14:textId="77777777" w:rsidR="000F282C" w:rsidRDefault="000F282C" w:rsidP="000F282C">
            <w:pPr>
              <w:rPr>
                <w:rFonts w:cs="Arial"/>
                <w:szCs w:val="24"/>
              </w:rPr>
            </w:pPr>
            <w:r>
              <w:rPr>
                <w:rFonts w:cs="Arial"/>
                <w:szCs w:val="24"/>
              </w:rPr>
              <w:t>PCAL</w:t>
            </w:r>
            <w:r w:rsidRPr="00114217">
              <w:rPr>
                <w:rFonts w:cs="Arial"/>
                <w:szCs w:val="24"/>
              </w:rPr>
              <w:t xml:space="preserve"> </w:t>
            </w:r>
            <w:r>
              <w:rPr>
                <w:rFonts w:cs="Arial"/>
                <w:szCs w:val="24"/>
              </w:rPr>
              <w:t>facilitate timely access to high quality and consistent advice, enabling patients to access the required treatment in an appropriate care setting.</w:t>
            </w:r>
            <w:r w:rsidR="004821B1">
              <w:rPr>
                <w:rFonts w:cs="Arial"/>
                <w:szCs w:val="24"/>
              </w:rPr>
              <w:t xml:space="preserve"> </w:t>
            </w:r>
          </w:p>
          <w:p w14:paraId="31EB7F8B" w14:textId="77777777" w:rsidR="000F282C" w:rsidRPr="00FA0596" w:rsidRDefault="000F282C" w:rsidP="000F282C">
            <w:pPr>
              <w:ind w:left="318"/>
              <w:rPr>
                <w:rFonts w:cs="Arial"/>
                <w:sz w:val="20"/>
                <w:szCs w:val="24"/>
              </w:rPr>
            </w:pPr>
          </w:p>
          <w:p w14:paraId="3288BB62" w14:textId="77777777" w:rsidR="000F282C" w:rsidRPr="00114217" w:rsidRDefault="000F282C" w:rsidP="000F282C">
            <w:pPr>
              <w:ind w:left="318"/>
              <w:rPr>
                <w:rFonts w:cs="Arial"/>
                <w:color w:val="009966"/>
                <w:szCs w:val="24"/>
              </w:rPr>
            </w:pPr>
            <w:r w:rsidRPr="00114217">
              <w:rPr>
                <w:rFonts w:cs="Arial"/>
                <w:szCs w:val="24"/>
              </w:rPr>
              <w:t>This will:</w:t>
            </w:r>
          </w:p>
          <w:p w14:paraId="428967CF" w14:textId="77777777" w:rsidR="000F282C" w:rsidRPr="00114217" w:rsidRDefault="000F282C" w:rsidP="000F282C">
            <w:pPr>
              <w:pStyle w:val="ListParagraph"/>
              <w:numPr>
                <w:ilvl w:val="0"/>
                <w:numId w:val="17"/>
              </w:numPr>
              <w:spacing w:line="276" w:lineRule="auto"/>
              <w:contextualSpacing w:val="0"/>
              <w:rPr>
                <w:rFonts w:cs="Arial"/>
              </w:rPr>
            </w:pPr>
            <w:r w:rsidRPr="00114217">
              <w:rPr>
                <w:rFonts w:cs="Arial"/>
              </w:rPr>
              <w:t xml:space="preserve">Reduce the number of patients attending </w:t>
            </w:r>
            <w:r>
              <w:rPr>
                <w:rFonts w:cs="Arial"/>
              </w:rPr>
              <w:t>the E.D</w:t>
            </w:r>
            <w:r w:rsidR="00C14B3D">
              <w:rPr>
                <w:rFonts w:cs="Arial"/>
              </w:rPr>
              <w:t>.</w:t>
            </w:r>
          </w:p>
          <w:p w14:paraId="2C60356F" w14:textId="77777777" w:rsidR="000F282C" w:rsidRPr="00114217" w:rsidRDefault="000F282C" w:rsidP="000F282C">
            <w:pPr>
              <w:pStyle w:val="ListParagraph"/>
              <w:numPr>
                <w:ilvl w:val="0"/>
                <w:numId w:val="17"/>
              </w:numPr>
              <w:spacing w:line="276" w:lineRule="auto"/>
              <w:contextualSpacing w:val="0"/>
              <w:rPr>
                <w:rFonts w:cs="Arial"/>
              </w:rPr>
            </w:pPr>
            <w:r>
              <w:rPr>
                <w:rFonts w:cs="Arial"/>
              </w:rPr>
              <w:t>Increase the use of special</w:t>
            </w:r>
            <w:r w:rsidRPr="00114217">
              <w:rPr>
                <w:rFonts w:cs="Arial"/>
              </w:rPr>
              <w:t>ty assessment areas</w:t>
            </w:r>
            <w:r w:rsidR="00C14B3D">
              <w:rPr>
                <w:rFonts w:cs="Arial"/>
              </w:rPr>
              <w:t>.</w:t>
            </w:r>
          </w:p>
          <w:p w14:paraId="01EEB6E0" w14:textId="77777777" w:rsidR="000F282C" w:rsidRPr="00114217" w:rsidRDefault="000F282C" w:rsidP="000F282C">
            <w:pPr>
              <w:pStyle w:val="ListParagraph"/>
              <w:numPr>
                <w:ilvl w:val="0"/>
                <w:numId w:val="17"/>
              </w:numPr>
              <w:spacing w:line="276" w:lineRule="auto"/>
              <w:contextualSpacing w:val="0"/>
              <w:rPr>
                <w:rFonts w:cs="Arial"/>
              </w:rPr>
            </w:pPr>
            <w:r w:rsidRPr="00114217">
              <w:rPr>
                <w:rFonts w:cs="Arial"/>
              </w:rPr>
              <w:t>Reduce inpatient admissions where possible by offering service alternatives</w:t>
            </w:r>
            <w:r w:rsidR="00C14B3D">
              <w:rPr>
                <w:rFonts w:cs="Arial"/>
              </w:rPr>
              <w:t>.</w:t>
            </w:r>
          </w:p>
          <w:p w14:paraId="3DEA50CB" w14:textId="77777777" w:rsidR="000F282C" w:rsidRPr="00114217" w:rsidRDefault="000F282C" w:rsidP="000F282C">
            <w:pPr>
              <w:pStyle w:val="ListParagraph"/>
              <w:numPr>
                <w:ilvl w:val="0"/>
                <w:numId w:val="17"/>
              </w:numPr>
              <w:spacing w:line="276" w:lineRule="auto"/>
              <w:contextualSpacing w:val="0"/>
              <w:rPr>
                <w:rFonts w:cs="Arial"/>
              </w:rPr>
            </w:pPr>
            <w:r w:rsidRPr="00114217">
              <w:rPr>
                <w:rFonts w:cs="Arial"/>
              </w:rPr>
              <w:t>Improve the patient experience</w:t>
            </w:r>
            <w:r w:rsidR="00C14B3D">
              <w:rPr>
                <w:rFonts w:cs="Arial"/>
              </w:rPr>
              <w:t>.</w:t>
            </w:r>
          </w:p>
          <w:p w14:paraId="612A5609" w14:textId="77777777" w:rsidR="000F282C" w:rsidRPr="00114217" w:rsidRDefault="000F282C" w:rsidP="000F282C">
            <w:pPr>
              <w:pStyle w:val="ListParagraph"/>
              <w:numPr>
                <w:ilvl w:val="0"/>
                <w:numId w:val="17"/>
              </w:numPr>
              <w:spacing w:line="276" w:lineRule="auto"/>
              <w:contextualSpacing w:val="0"/>
              <w:rPr>
                <w:rFonts w:cs="Arial"/>
              </w:rPr>
            </w:pPr>
            <w:r w:rsidRPr="00114217">
              <w:rPr>
                <w:rFonts w:cs="Arial"/>
              </w:rPr>
              <w:t>Incr</w:t>
            </w:r>
            <w:r>
              <w:rPr>
                <w:rFonts w:cs="Arial"/>
              </w:rPr>
              <w:t xml:space="preserve">ease utilisation of </w:t>
            </w:r>
            <w:r w:rsidR="00C14B3D">
              <w:rPr>
                <w:rFonts w:cs="Arial"/>
              </w:rPr>
              <w:t xml:space="preserve">outpatient clinics and </w:t>
            </w:r>
            <w:r w:rsidRPr="00114217">
              <w:rPr>
                <w:rFonts w:cs="Arial"/>
              </w:rPr>
              <w:t>hot clinics, offering same/next day appointments</w:t>
            </w:r>
            <w:r w:rsidR="00C14B3D">
              <w:rPr>
                <w:rFonts w:cs="Arial"/>
              </w:rPr>
              <w:t>.</w:t>
            </w:r>
          </w:p>
          <w:p w14:paraId="30338364" w14:textId="77777777" w:rsidR="00F002E3" w:rsidRPr="000F282C" w:rsidRDefault="000F282C" w:rsidP="000F282C">
            <w:pPr>
              <w:pStyle w:val="ListParagraph"/>
              <w:numPr>
                <w:ilvl w:val="0"/>
                <w:numId w:val="17"/>
              </w:numPr>
              <w:rPr>
                <w:b/>
                <w:u w:val="single"/>
              </w:rPr>
            </w:pPr>
            <w:r w:rsidRPr="000F282C">
              <w:rPr>
                <w:rFonts w:cs="Arial"/>
              </w:rPr>
              <w:t>Simplify the process for health professionals to access clinicians at LTHT by the use of one telephone number</w:t>
            </w:r>
            <w:r>
              <w:rPr>
                <w:rFonts w:cs="Arial"/>
              </w:rPr>
              <w:t>.</w:t>
            </w:r>
          </w:p>
          <w:p w14:paraId="4344714A" w14:textId="77777777" w:rsidR="000F282C" w:rsidRDefault="000F282C" w:rsidP="000F282C"/>
          <w:p w14:paraId="33BAF52E" w14:textId="77777777" w:rsidR="009F2BC4" w:rsidRDefault="009F2BC4" w:rsidP="000F282C">
            <w:r>
              <w:t xml:space="preserve">This SOP provides guidance in assessing and triaging patients to the relevant pathway where </w:t>
            </w:r>
            <w:r w:rsidR="00FC7880">
              <w:t>a</w:t>
            </w:r>
            <w:r w:rsidR="00376598">
              <w:t>n</w:t>
            </w:r>
            <w:r w:rsidR="00FC7880">
              <w:t xml:space="preserve"> </w:t>
            </w:r>
            <w:r w:rsidR="00376598">
              <w:t>optic</w:t>
            </w:r>
            <w:r w:rsidR="00B41180">
              <w:t xml:space="preserve"> condition</w:t>
            </w:r>
            <w:r>
              <w:t xml:space="preserve"> is confirmed or suspected.</w:t>
            </w:r>
          </w:p>
          <w:p w14:paraId="265CC2A0" w14:textId="77777777" w:rsidR="009F2BC4" w:rsidRDefault="009F2BC4" w:rsidP="000F282C"/>
          <w:p w14:paraId="4FA33097" w14:textId="77777777" w:rsidR="000F282C" w:rsidRPr="000F282C" w:rsidRDefault="000F282C" w:rsidP="000F282C">
            <w:r w:rsidRPr="000F282C">
              <w:t>Th</w:t>
            </w:r>
            <w:r w:rsidR="00602C99">
              <w:t>is</w:t>
            </w:r>
            <w:r w:rsidRPr="000F282C">
              <w:t xml:space="preserve"> </w:t>
            </w:r>
            <w:r>
              <w:t xml:space="preserve">SOP </w:t>
            </w:r>
            <w:r w:rsidR="00AC34AC">
              <w:t>has been</w:t>
            </w:r>
            <w:r w:rsidR="007340ED">
              <w:t xml:space="preserve"> </w:t>
            </w:r>
            <w:r>
              <w:t xml:space="preserve">developed in collaboration with </w:t>
            </w:r>
            <w:r w:rsidR="00376598">
              <w:t xml:space="preserve">Ophthalmology </w:t>
            </w:r>
            <w:r w:rsidR="00C603F9">
              <w:t xml:space="preserve">Acute Referral Clinic </w:t>
            </w:r>
            <w:r w:rsidR="00AC34AC">
              <w:t>(</w:t>
            </w:r>
            <w:r w:rsidR="009B121E">
              <w:t>ARC</w:t>
            </w:r>
            <w:r w:rsidR="00AC34AC">
              <w:t>)</w:t>
            </w:r>
            <w:r>
              <w:t xml:space="preserve"> to ensure a degree of consistency in pathway and reduction of ambiguity. This SOP is not exhaustive and there is an expected degree of variation during an assessment as different patients present with different comorbidities which may determine the outcome of the assessment.</w:t>
            </w:r>
          </w:p>
          <w:p w14:paraId="428C0119" w14:textId="77777777" w:rsidR="00F002E3" w:rsidRPr="009F2BC4" w:rsidRDefault="00F002E3" w:rsidP="009F2BC4">
            <w:pPr>
              <w:jc w:val="both"/>
              <w:rPr>
                <w:b/>
                <w:u w:val="single"/>
              </w:rPr>
            </w:pPr>
          </w:p>
        </w:tc>
      </w:tr>
      <w:tr w:rsidR="00F002E3" w14:paraId="151B8DB5" w14:textId="77777777" w:rsidTr="00F002E3">
        <w:tc>
          <w:tcPr>
            <w:tcW w:w="9242" w:type="dxa"/>
            <w:shd w:val="clear" w:color="auto" w:fill="8DB3E2" w:themeFill="text2" w:themeFillTint="66"/>
          </w:tcPr>
          <w:p w14:paraId="4300E9F1" w14:textId="77777777" w:rsidR="00F002E3" w:rsidRPr="00F002E3" w:rsidRDefault="00F002E3" w:rsidP="00F002E3">
            <w:pPr>
              <w:rPr>
                <w:b/>
              </w:rPr>
            </w:pPr>
            <w:r w:rsidRPr="00F002E3">
              <w:rPr>
                <w:b/>
              </w:rPr>
              <w:t>Scope</w:t>
            </w:r>
          </w:p>
        </w:tc>
      </w:tr>
      <w:tr w:rsidR="00F002E3" w14:paraId="03265405" w14:textId="77777777" w:rsidTr="00F002E3">
        <w:tc>
          <w:tcPr>
            <w:tcW w:w="9242" w:type="dxa"/>
          </w:tcPr>
          <w:p w14:paraId="5D181359" w14:textId="77777777" w:rsidR="00F002E3" w:rsidRDefault="00F002E3">
            <w:pPr>
              <w:rPr>
                <w:b/>
                <w:u w:val="single"/>
              </w:rPr>
            </w:pPr>
          </w:p>
          <w:p w14:paraId="7FAB18D1" w14:textId="77777777" w:rsidR="00F002E3" w:rsidRPr="005954F2" w:rsidRDefault="00554883" w:rsidP="00AC34AC">
            <w:r>
              <w:t>PCAL Service, Emergency and Specialty Medicine CSU,</w:t>
            </w:r>
            <w:r w:rsidR="00AE2480">
              <w:t xml:space="preserve"> Patient Flow Coordinators and Ward Managers</w:t>
            </w:r>
            <w:r>
              <w:t>, Primary and Community care clinicians</w:t>
            </w:r>
            <w:r w:rsidR="00FA3732">
              <w:t xml:space="preserve">, </w:t>
            </w:r>
            <w:r w:rsidR="007B0206" w:rsidRPr="005954F2">
              <w:t>Head and Neck CSU (</w:t>
            </w:r>
            <w:r w:rsidR="005954F2" w:rsidRPr="005954F2">
              <w:t>Ophthalmology)</w:t>
            </w:r>
          </w:p>
          <w:p w14:paraId="61E401CF" w14:textId="77777777" w:rsidR="00E25B3F" w:rsidRDefault="00E25B3F" w:rsidP="00AC34AC">
            <w:pPr>
              <w:rPr>
                <w:b/>
                <w:u w:val="single"/>
              </w:rPr>
            </w:pPr>
          </w:p>
        </w:tc>
      </w:tr>
      <w:tr w:rsidR="00E7306B" w14:paraId="5EA76FBD" w14:textId="77777777" w:rsidTr="00F002E3">
        <w:tc>
          <w:tcPr>
            <w:tcW w:w="9242" w:type="dxa"/>
            <w:shd w:val="clear" w:color="auto" w:fill="8DB3E2" w:themeFill="text2" w:themeFillTint="66"/>
          </w:tcPr>
          <w:p w14:paraId="7071F3EB" w14:textId="77777777" w:rsidR="00E7306B" w:rsidRDefault="00376598" w:rsidP="004F5D9A">
            <w:pPr>
              <w:rPr>
                <w:b/>
              </w:rPr>
            </w:pPr>
            <w:r>
              <w:rPr>
                <w:b/>
              </w:rPr>
              <w:t>Ophthalmology</w:t>
            </w:r>
            <w:r w:rsidR="00D21303">
              <w:rPr>
                <w:b/>
              </w:rPr>
              <w:t xml:space="preserve"> </w:t>
            </w:r>
            <w:r w:rsidR="004F5D9A">
              <w:rPr>
                <w:b/>
              </w:rPr>
              <w:t>Criteria</w:t>
            </w:r>
          </w:p>
        </w:tc>
      </w:tr>
      <w:tr w:rsidR="00E7306B" w14:paraId="02FD64E7" w14:textId="77777777" w:rsidTr="00D21303">
        <w:tc>
          <w:tcPr>
            <w:tcW w:w="9242" w:type="dxa"/>
            <w:shd w:val="clear" w:color="auto" w:fill="auto"/>
          </w:tcPr>
          <w:p w14:paraId="58768FAF" w14:textId="77777777" w:rsidR="00D21303" w:rsidRDefault="00E55F2F" w:rsidP="000C41C4">
            <w:pPr>
              <w:pStyle w:val="ListParagraph"/>
              <w:numPr>
                <w:ilvl w:val="0"/>
                <w:numId w:val="44"/>
              </w:numPr>
            </w:pPr>
            <w:r>
              <w:t xml:space="preserve">All eye conditions </w:t>
            </w:r>
          </w:p>
          <w:p w14:paraId="5773073D" w14:textId="77777777" w:rsidR="00E55F2F" w:rsidRDefault="00E55F2F" w:rsidP="00E55F2F">
            <w:pPr>
              <w:pStyle w:val="ListParagraph"/>
            </w:pPr>
          </w:p>
          <w:p w14:paraId="72E980C1" w14:textId="77777777" w:rsidR="00E55F2F" w:rsidRPr="007B0206" w:rsidRDefault="00E55F2F" w:rsidP="00E55F2F">
            <w:pPr>
              <w:pStyle w:val="ListParagraph"/>
            </w:pPr>
          </w:p>
        </w:tc>
      </w:tr>
      <w:tr w:rsidR="00B2433A" w14:paraId="07FA724D" w14:textId="77777777" w:rsidTr="00B2433A">
        <w:tc>
          <w:tcPr>
            <w:tcW w:w="9242" w:type="dxa"/>
            <w:shd w:val="clear" w:color="auto" w:fill="8DB3E2" w:themeFill="text2" w:themeFillTint="66"/>
          </w:tcPr>
          <w:p w14:paraId="4E149DE6" w14:textId="77777777" w:rsidR="00B2433A" w:rsidRPr="00AC34AC" w:rsidRDefault="00B2433A" w:rsidP="00B2433A">
            <w:pPr>
              <w:rPr>
                <w:b/>
                <w:color w:val="FF0000"/>
              </w:rPr>
            </w:pPr>
            <w:r>
              <w:rPr>
                <w:b/>
              </w:rPr>
              <w:lastRenderedPageBreak/>
              <w:t>Ophthalmology pathways</w:t>
            </w:r>
          </w:p>
        </w:tc>
      </w:tr>
      <w:tr w:rsidR="00B2433A" w14:paraId="4549AC94" w14:textId="77777777" w:rsidTr="005954F2">
        <w:trPr>
          <w:trHeight w:val="1175"/>
        </w:trPr>
        <w:tc>
          <w:tcPr>
            <w:tcW w:w="9242" w:type="dxa"/>
            <w:shd w:val="clear" w:color="auto" w:fill="auto"/>
          </w:tcPr>
          <w:p w14:paraId="2DFFB41D" w14:textId="77777777" w:rsidR="001B6D66" w:rsidRPr="001B6D66" w:rsidRDefault="001B6D66" w:rsidP="00B2433A">
            <w:pPr>
              <w:pStyle w:val="ListParagraph"/>
              <w:numPr>
                <w:ilvl w:val="0"/>
                <w:numId w:val="29"/>
              </w:numPr>
              <w:rPr>
                <w:b/>
              </w:rPr>
            </w:pPr>
            <w:r>
              <w:t>Adult Patients</w:t>
            </w:r>
          </w:p>
          <w:p w14:paraId="45AD8298" w14:textId="77777777" w:rsidR="00B2433A" w:rsidRPr="001B6D66" w:rsidRDefault="00B2433A" w:rsidP="00B2433A">
            <w:pPr>
              <w:pStyle w:val="ListParagraph"/>
              <w:numPr>
                <w:ilvl w:val="0"/>
                <w:numId w:val="29"/>
              </w:numPr>
              <w:rPr>
                <w:b/>
              </w:rPr>
            </w:pPr>
            <w:r w:rsidRPr="005954F2">
              <w:t>Paediatric Patients</w:t>
            </w:r>
          </w:p>
          <w:p w14:paraId="2C77D4B1" w14:textId="77777777" w:rsidR="001B6D66" w:rsidRPr="005954F2" w:rsidRDefault="001B6D66" w:rsidP="001B6D66">
            <w:pPr>
              <w:pStyle w:val="ListParagraph"/>
              <w:numPr>
                <w:ilvl w:val="0"/>
                <w:numId w:val="29"/>
              </w:numPr>
              <w:rPr>
                <w:b/>
              </w:rPr>
            </w:pPr>
            <w:r w:rsidRPr="005954F2">
              <w:t>Ireland Wood Ophthalmology Acute Referral Clinic</w:t>
            </w:r>
          </w:p>
          <w:p w14:paraId="0C274B1E" w14:textId="77777777" w:rsidR="001B6D66" w:rsidRPr="005954F2" w:rsidRDefault="001B6D66" w:rsidP="00B2433A">
            <w:pPr>
              <w:pStyle w:val="ListParagraph"/>
              <w:numPr>
                <w:ilvl w:val="0"/>
                <w:numId w:val="29"/>
              </w:numPr>
              <w:rPr>
                <w:b/>
              </w:rPr>
            </w:pPr>
            <w:r>
              <w:t>Trauma injuries affecting eyes</w:t>
            </w:r>
          </w:p>
          <w:p w14:paraId="5A7975F2" w14:textId="77777777" w:rsidR="00B2433A" w:rsidRPr="001B6D66" w:rsidRDefault="007B0206" w:rsidP="005954F2">
            <w:pPr>
              <w:pStyle w:val="ListParagraph"/>
              <w:numPr>
                <w:ilvl w:val="0"/>
                <w:numId w:val="29"/>
              </w:numPr>
              <w:rPr>
                <w:b/>
              </w:rPr>
            </w:pPr>
            <w:r w:rsidRPr="005954F2">
              <w:t xml:space="preserve">Ophthalmology Advice </w:t>
            </w:r>
          </w:p>
          <w:p w14:paraId="00AE99AA" w14:textId="77777777" w:rsidR="001B6D66" w:rsidRPr="005954F2" w:rsidRDefault="001B6D66" w:rsidP="001B6D66">
            <w:pPr>
              <w:pStyle w:val="ListParagraph"/>
              <w:rPr>
                <w:b/>
              </w:rPr>
            </w:pPr>
          </w:p>
        </w:tc>
      </w:tr>
      <w:tr w:rsidR="00B2433A" w14:paraId="4A6ADB0C" w14:textId="77777777" w:rsidTr="00F002E3">
        <w:tc>
          <w:tcPr>
            <w:tcW w:w="9242" w:type="dxa"/>
            <w:shd w:val="clear" w:color="auto" w:fill="8DB3E2" w:themeFill="text2" w:themeFillTint="66"/>
          </w:tcPr>
          <w:p w14:paraId="366E8ED9" w14:textId="77777777" w:rsidR="00B2433A" w:rsidRPr="005954F2" w:rsidRDefault="00B2433A" w:rsidP="001B6D66">
            <w:r w:rsidRPr="005954F2">
              <w:rPr>
                <w:b/>
              </w:rPr>
              <w:t xml:space="preserve">Pathway - </w:t>
            </w:r>
            <w:r w:rsidR="001B6D66">
              <w:t xml:space="preserve">Adult patients </w:t>
            </w:r>
          </w:p>
        </w:tc>
      </w:tr>
      <w:tr w:rsidR="00B2433A" w14:paraId="6527C2F0" w14:textId="77777777" w:rsidTr="00F002E3">
        <w:tc>
          <w:tcPr>
            <w:tcW w:w="9242" w:type="dxa"/>
          </w:tcPr>
          <w:p w14:paraId="00622864" w14:textId="77777777" w:rsidR="00B2433A" w:rsidRPr="005954F2" w:rsidRDefault="00B2433A" w:rsidP="00145650"/>
          <w:p w14:paraId="50B42D50" w14:textId="77777777" w:rsidR="004F5D9A" w:rsidRPr="005954F2" w:rsidRDefault="004F5D9A" w:rsidP="004F5D9A">
            <w:pPr>
              <w:pStyle w:val="ListParagraph"/>
              <w:numPr>
                <w:ilvl w:val="0"/>
                <w:numId w:val="21"/>
              </w:numPr>
            </w:pPr>
            <w:r w:rsidRPr="005954F2">
              <w:t xml:space="preserve">All patients aged 16 or over. </w:t>
            </w:r>
          </w:p>
          <w:p w14:paraId="2B3B3D9E" w14:textId="77777777" w:rsidR="004F5D9A" w:rsidRDefault="004F5D9A" w:rsidP="004F5D9A">
            <w:pPr>
              <w:pStyle w:val="ListParagraph"/>
              <w:numPr>
                <w:ilvl w:val="0"/>
                <w:numId w:val="21"/>
              </w:numPr>
            </w:pPr>
            <w:r w:rsidRPr="005954F2">
              <w:t>All patients that are contact lens users require same day assessment.</w:t>
            </w:r>
          </w:p>
          <w:p w14:paraId="1AB79950" w14:textId="77777777" w:rsidR="00E55792" w:rsidRPr="005954F2" w:rsidRDefault="00E55792" w:rsidP="004F5D9A">
            <w:pPr>
              <w:pStyle w:val="ListParagraph"/>
              <w:numPr>
                <w:ilvl w:val="0"/>
                <w:numId w:val="21"/>
              </w:numPr>
            </w:pPr>
            <w:r>
              <w:t xml:space="preserve">All patients with foreign objects in eyes that require x-ray need to be seen in the ARC at SJUH. </w:t>
            </w:r>
          </w:p>
          <w:p w14:paraId="10814D69" w14:textId="77777777" w:rsidR="004F5D9A" w:rsidRDefault="004F5D9A" w:rsidP="004F5D9A">
            <w:pPr>
              <w:pStyle w:val="ListParagraph"/>
              <w:numPr>
                <w:ilvl w:val="0"/>
                <w:numId w:val="21"/>
              </w:numPr>
            </w:pPr>
            <w:r w:rsidRPr="005954F2">
              <w:t>Patients who meet the above criteria will be referred to ARC at SJUH in the pre-agreed appointment slots</w:t>
            </w:r>
            <w:r w:rsidR="001B6D66">
              <w:t xml:space="preserve"> as provided to PCAL</w:t>
            </w:r>
            <w:r w:rsidRPr="005954F2">
              <w:t xml:space="preserve">. </w:t>
            </w:r>
          </w:p>
          <w:p w14:paraId="4B83633A" w14:textId="77777777" w:rsidR="00E55792" w:rsidRPr="005954F2" w:rsidRDefault="00E55792" w:rsidP="00E55792">
            <w:pPr>
              <w:pStyle w:val="ListParagraph"/>
              <w:numPr>
                <w:ilvl w:val="1"/>
                <w:numId w:val="21"/>
              </w:numPr>
            </w:pPr>
            <w:r>
              <w:t xml:space="preserve">Please Note: Opening Times for ARC </w:t>
            </w:r>
            <w:r w:rsidR="001B6D66">
              <w:t>are</w:t>
            </w:r>
            <w:r>
              <w:t xml:space="preserve"> 08:30am - 17:30pm Monday to Friday and 09:30 - 12:30 on weekends. </w:t>
            </w:r>
          </w:p>
          <w:p w14:paraId="0A8276C0" w14:textId="77777777" w:rsidR="004F5D9A" w:rsidRPr="005954F2" w:rsidRDefault="004F5D9A" w:rsidP="004F5D9A">
            <w:pPr>
              <w:pStyle w:val="ListParagraph"/>
              <w:ind w:left="1440"/>
            </w:pPr>
          </w:p>
          <w:p w14:paraId="4A124C96" w14:textId="77777777" w:rsidR="00B2433A" w:rsidRPr="005954F2" w:rsidRDefault="00B2433A" w:rsidP="004F5D9A">
            <w:pPr>
              <w:pStyle w:val="ListParagraph"/>
              <w:numPr>
                <w:ilvl w:val="0"/>
                <w:numId w:val="21"/>
              </w:numPr>
            </w:pPr>
            <w:r w:rsidRPr="005954F2">
              <w:t xml:space="preserve">If referred out of hours of ARC a 3-way-call between PCAL nurse, Referrer and Ophthalmologists </w:t>
            </w:r>
            <w:r w:rsidR="007B0206" w:rsidRPr="005954F2">
              <w:t>will</w:t>
            </w:r>
            <w:r w:rsidRPr="005954F2">
              <w:t xml:space="preserve"> be initiated prior to the referral to </w:t>
            </w:r>
            <w:r w:rsidR="009C0F76">
              <w:t>the Emergency Department</w:t>
            </w:r>
            <w:r w:rsidRPr="005954F2">
              <w:t>.</w:t>
            </w:r>
          </w:p>
          <w:p w14:paraId="3B10F01B" w14:textId="77777777" w:rsidR="00B2433A" w:rsidRPr="005954F2" w:rsidRDefault="00B2433A" w:rsidP="004F5D9A">
            <w:pPr>
              <w:pStyle w:val="ListParagraph"/>
              <w:numPr>
                <w:ilvl w:val="0"/>
                <w:numId w:val="21"/>
              </w:numPr>
            </w:pPr>
            <w:r w:rsidRPr="005954F2">
              <w:t xml:space="preserve">If no same day appointment slots available ARC a 3-way-call between PCAL nurse, Referrer and Ophthalmologists may be initiated prior to the referral to </w:t>
            </w:r>
            <w:r w:rsidR="009A5025">
              <w:t xml:space="preserve">Emergency Department </w:t>
            </w:r>
            <w:r w:rsidRPr="005954F2">
              <w:t>or ARC.</w:t>
            </w:r>
          </w:p>
          <w:p w14:paraId="13D81EF1" w14:textId="77777777" w:rsidR="00B2433A" w:rsidRPr="005954F2" w:rsidRDefault="00B2433A" w:rsidP="00DB472A"/>
        </w:tc>
      </w:tr>
      <w:tr w:rsidR="001B6D66" w14:paraId="431830FC" w14:textId="77777777" w:rsidTr="004F5D9A">
        <w:tc>
          <w:tcPr>
            <w:tcW w:w="9242" w:type="dxa"/>
            <w:shd w:val="clear" w:color="auto" w:fill="8DB3E2" w:themeFill="text2" w:themeFillTint="66"/>
          </w:tcPr>
          <w:p w14:paraId="416E64A7" w14:textId="77777777" w:rsidR="001B6D66" w:rsidRPr="005954F2" w:rsidRDefault="001B6D66" w:rsidP="007B44FA">
            <w:pPr>
              <w:rPr>
                <w:b/>
              </w:rPr>
            </w:pPr>
            <w:r w:rsidRPr="005954F2">
              <w:rPr>
                <w:b/>
              </w:rPr>
              <w:t xml:space="preserve">Pathway - </w:t>
            </w:r>
            <w:r w:rsidRPr="005954F2">
              <w:t>Paediatric referrals</w:t>
            </w:r>
          </w:p>
        </w:tc>
      </w:tr>
      <w:tr w:rsidR="001B6D66" w14:paraId="00FBB394" w14:textId="77777777" w:rsidTr="00F002E3">
        <w:tc>
          <w:tcPr>
            <w:tcW w:w="9242" w:type="dxa"/>
          </w:tcPr>
          <w:p w14:paraId="121C16FB" w14:textId="77777777" w:rsidR="001B6D66" w:rsidRPr="005954F2" w:rsidRDefault="001B6D66" w:rsidP="007B44FA">
            <w:pPr>
              <w:rPr>
                <w:b/>
                <w:u w:val="single"/>
              </w:rPr>
            </w:pPr>
          </w:p>
          <w:p w14:paraId="5AAA5015" w14:textId="77777777" w:rsidR="001B6D66" w:rsidRPr="005954F2" w:rsidRDefault="001B6D66" w:rsidP="007B44FA">
            <w:pPr>
              <w:pStyle w:val="ListParagraph"/>
              <w:numPr>
                <w:ilvl w:val="0"/>
                <w:numId w:val="21"/>
              </w:numPr>
            </w:pPr>
            <w:r w:rsidRPr="005954F2">
              <w:t>All patients aged 1</w:t>
            </w:r>
            <w:r>
              <w:t>5</w:t>
            </w:r>
            <w:r w:rsidRPr="005954F2">
              <w:t xml:space="preserve"> or under. </w:t>
            </w:r>
          </w:p>
          <w:p w14:paraId="52CF189C" w14:textId="77777777" w:rsidR="001B6D66" w:rsidRPr="005954F2" w:rsidRDefault="001B6D66" w:rsidP="007B44FA">
            <w:pPr>
              <w:pStyle w:val="ListParagraph"/>
              <w:numPr>
                <w:ilvl w:val="0"/>
                <w:numId w:val="21"/>
              </w:numPr>
            </w:pPr>
            <w:r w:rsidRPr="005954F2">
              <w:t>All patients that are contact lens users require same day assessment.</w:t>
            </w:r>
          </w:p>
          <w:p w14:paraId="6DEFF07C" w14:textId="77777777" w:rsidR="001B6D66" w:rsidRDefault="001B6D66" w:rsidP="007B44FA">
            <w:pPr>
              <w:pStyle w:val="ListParagraph"/>
              <w:numPr>
                <w:ilvl w:val="0"/>
                <w:numId w:val="21"/>
              </w:numPr>
            </w:pPr>
            <w:r w:rsidRPr="005954F2">
              <w:t xml:space="preserve">All paediatric patients a 3-way-call between PCAL nurse, Referrer and Ophthalmologists is initiated prior to the referral to </w:t>
            </w:r>
            <w:r>
              <w:t xml:space="preserve">Paediatric ED (LGI), </w:t>
            </w:r>
            <w:r w:rsidRPr="005954F2">
              <w:t xml:space="preserve">CAT unit (LGI), ARC (SJUH) or Multi-speciality Outpatients (SJUH). </w:t>
            </w:r>
          </w:p>
          <w:p w14:paraId="28E9C0C1" w14:textId="77777777" w:rsidR="001B6D66" w:rsidRDefault="001B6D66" w:rsidP="007B44FA"/>
          <w:p w14:paraId="2A9481C2" w14:textId="77777777" w:rsidR="001B6D66" w:rsidRPr="005954F2" w:rsidRDefault="001B6D66" w:rsidP="007B44FA"/>
          <w:p w14:paraId="1E42BA8F" w14:textId="77777777" w:rsidR="001B6D66" w:rsidRPr="005954F2" w:rsidRDefault="001B6D66" w:rsidP="007B44FA">
            <w:pPr>
              <w:pStyle w:val="ListParagraph"/>
            </w:pPr>
          </w:p>
        </w:tc>
      </w:tr>
      <w:tr w:rsidR="001B6D66" w14:paraId="4ACBBA3D" w14:textId="77777777" w:rsidTr="00F002E3">
        <w:tc>
          <w:tcPr>
            <w:tcW w:w="9242" w:type="dxa"/>
            <w:shd w:val="clear" w:color="auto" w:fill="8DB3E2" w:themeFill="text2" w:themeFillTint="66"/>
          </w:tcPr>
          <w:p w14:paraId="5324EE03" w14:textId="77777777" w:rsidR="001B6D66" w:rsidRPr="005954F2" w:rsidRDefault="001B6D66" w:rsidP="007B44FA">
            <w:r w:rsidRPr="005954F2">
              <w:rPr>
                <w:b/>
              </w:rPr>
              <w:t xml:space="preserve">Pathway - </w:t>
            </w:r>
            <w:r w:rsidRPr="005954F2">
              <w:t>Ophthalmology Acute Referral Clinic (Ireland Wood Surgery)</w:t>
            </w:r>
          </w:p>
        </w:tc>
      </w:tr>
      <w:tr w:rsidR="001B6D66" w14:paraId="6C674621" w14:textId="77777777" w:rsidTr="00F002E3">
        <w:tc>
          <w:tcPr>
            <w:tcW w:w="9242" w:type="dxa"/>
          </w:tcPr>
          <w:p w14:paraId="04B4909A" w14:textId="77777777" w:rsidR="001B6D66" w:rsidRPr="005954F2" w:rsidRDefault="001B6D66" w:rsidP="007B44FA">
            <w:pPr>
              <w:rPr>
                <w:b/>
              </w:rPr>
            </w:pPr>
          </w:p>
          <w:p w14:paraId="1E1C20A4" w14:textId="77777777" w:rsidR="001B6D66" w:rsidRPr="005954F2" w:rsidRDefault="001B6D66" w:rsidP="007B44FA">
            <w:pPr>
              <w:rPr>
                <w:b/>
              </w:rPr>
            </w:pPr>
            <w:r w:rsidRPr="005954F2">
              <w:rPr>
                <w:b/>
              </w:rPr>
              <w:t>Exclusions:</w:t>
            </w:r>
          </w:p>
          <w:p w14:paraId="381CEC00" w14:textId="77777777" w:rsidR="001B6D66" w:rsidRPr="005954F2" w:rsidRDefault="001B6D66" w:rsidP="007B44FA">
            <w:pPr>
              <w:pStyle w:val="ListParagraph"/>
              <w:numPr>
                <w:ilvl w:val="0"/>
                <w:numId w:val="45"/>
              </w:numPr>
            </w:pPr>
            <w:r w:rsidRPr="005954F2">
              <w:t>Foreign Objects in Eyes requiring x-rays</w:t>
            </w:r>
          </w:p>
          <w:p w14:paraId="48968D39" w14:textId="77777777" w:rsidR="001B6D66" w:rsidRPr="005954F2" w:rsidRDefault="001B6D66" w:rsidP="007B44FA">
            <w:pPr>
              <w:rPr>
                <w:b/>
              </w:rPr>
            </w:pPr>
          </w:p>
          <w:p w14:paraId="52B499A6" w14:textId="77777777" w:rsidR="001B6D66" w:rsidRPr="00E55792" w:rsidRDefault="001B6D66" w:rsidP="007B44FA">
            <w:pPr>
              <w:rPr>
                <w:b/>
              </w:rPr>
            </w:pPr>
            <w:r w:rsidRPr="00E55792">
              <w:rPr>
                <w:b/>
              </w:rPr>
              <w:t>Inclusions</w:t>
            </w:r>
            <w:r>
              <w:rPr>
                <w:b/>
              </w:rPr>
              <w:t>:</w:t>
            </w:r>
          </w:p>
          <w:p w14:paraId="75775C41" w14:textId="77777777" w:rsidR="001B6D66" w:rsidRPr="005954F2" w:rsidRDefault="001B6D66" w:rsidP="007B44FA">
            <w:pPr>
              <w:pStyle w:val="ListParagraph"/>
              <w:numPr>
                <w:ilvl w:val="0"/>
                <w:numId w:val="21"/>
              </w:numPr>
            </w:pPr>
            <w:r w:rsidRPr="005954F2">
              <w:t xml:space="preserve">All patients aged 12 or over. </w:t>
            </w:r>
          </w:p>
          <w:p w14:paraId="7F1B197A" w14:textId="77777777" w:rsidR="001B6D66" w:rsidRPr="005954F2" w:rsidRDefault="001B6D66" w:rsidP="007B44FA">
            <w:pPr>
              <w:pStyle w:val="ListParagraph"/>
              <w:numPr>
                <w:ilvl w:val="0"/>
                <w:numId w:val="21"/>
              </w:numPr>
            </w:pPr>
            <w:r w:rsidRPr="005954F2">
              <w:t>All patients that are contact lens users require same day assessment.</w:t>
            </w:r>
          </w:p>
          <w:p w14:paraId="4DAD64DD" w14:textId="77777777" w:rsidR="001B6D66" w:rsidRPr="005954F2" w:rsidRDefault="001B6D66" w:rsidP="007B44FA">
            <w:pPr>
              <w:pStyle w:val="ListParagraph"/>
              <w:numPr>
                <w:ilvl w:val="0"/>
                <w:numId w:val="21"/>
              </w:numPr>
            </w:pPr>
            <w:r w:rsidRPr="005954F2">
              <w:t xml:space="preserve">Patients who meet the above criteria except the exclusions above will be referred to ARC at Ireland Wood Surgery in the pre-agreed appointment slots. </w:t>
            </w:r>
          </w:p>
          <w:p w14:paraId="100362C1" w14:textId="77777777" w:rsidR="001B6D66" w:rsidRPr="005954F2" w:rsidRDefault="001B6D66" w:rsidP="007B44FA">
            <w:pPr>
              <w:pStyle w:val="ListParagraph"/>
              <w:ind w:left="1440"/>
            </w:pPr>
          </w:p>
          <w:p w14:paraId="6CF0523D" w14:textId="77777777" w:rsidR="001B6D66" w:rsidRDefault="001B6D66" w:rsidP="007B44FA">
            <w:pPr>
              <w:pStyle w:val="ListParagraph"/>
              <w:numPr>
                <w:ilvl w:val="0"/>
                <w:numId w:val="21"/>
              </w:numPr>
            </w:pPr>
            <w:r w:rsidRPr="005954F2">
              <w:t xml:space="preserve">If no same day appointment slots available a 3-way-call between PCAL nurse, Referrer and Ophthalmologists may be initiated prior to the referral to </w:t>
            </w:r>
            <w:r w:rsidR="009C0F76">
              <w:t>Emergency Department</w:t>
            </w:r>
            <w:r w:rsidRPr="005954F2">
              <w:t xml:space="preserve"> or ARC.</w:t>
            </w:r>
          </w:p>
          <w:p w14:paraId="5A8FDCFA" w14:textId="77777777" w:rsidR="001B6D66" w:rsidRPr="005954F2" w:rsidRDefault="001B6D66" w:rsidP="007B44FA">
            <w:pPr>
              <w:pStyle w:val="ListParagraph"/>
            </w:pPr>
          </w:p>
          <w:p w14:paraId="5C1D5589" w14:textId="77777777" w:rsidR="001B6D66" w:rsidRPr="005954F2" w:rsidRDefault="001B6D66" w:rsidP="007B44FA"/>
        </w:tc>
      </w:tr>
      <w:tr w:rsidR="001B6D66" w14:paraId="2C66764C" w14:textId="77777777" w:rsidTr="00B027BC">
        <w:tc>
          <w:tcPr>
            <w:tcW w:w="9242" w:type="dxa"/>
            <w:shd w:val="clear" w:color="auto" w:fill="95B3D7" w:themeFill="accent1" w:themeFillTint="99"/>
          </w:tcPr>
          <w:p w14:paraId="50FA4644" w14:textId="77777777" w:rsidR="001B6D66" w:rsidRPr="005954F2" w:rsidRDefault="001B6D66" w:rsidP="007B44FA"/>
        </w:tc>
      </w:tr>
      <w:tr w:rsidR="001B6D66" w14:paraId="328647FB" w14:textId="77777777" w:rsidTr="001B6D66">
        <w:tc>
          <w:tcPr>
            <w:tcW w:w="9242" w:type="dxa"/>
            <w:shd w:val="clear" w:color="auto" w:fill="auto"/>
          </w:tcPr>
          <w:p w14:paraId="71D5020C" w14:textId="77777777" w:rsidR="001B6D66" w:rsidRPr="005954F2" w:rsidRDefault="001B6D66" w:rsidP="007B44FA">
            <w:pPr>
              <w:rPr>
                <w:b/>
              </w:rPr>
            </w:pPr>
          </w:p>
          <w:p w14:paraId="13BC684B" w14:textId="77777777" w:rsidR="001B6D66" w:rsidRPr="005954F2" w:rsidRDefault="001B6D66" w:rsidP="007B44FA">
            <w:pPr>
              <w:pStyle w:val="ListParagraph"/>
            </w:pPr>
          </w:p>
          <w:p w14:paraId="3DF9C84F" w14:textId="77777777" w:rsidR="001B6D66" w:rsidRPr="005954F2" w:rsidRDefault="001B6D66" w:rsidP="007B44FA"/>
        </w:tc>
      </w:tr>
      <w:tr w:rsidR="004F5D9A" w14:paraId="3EDA8964" w14:textId="77777777" w:rsidTr="00B027BC">
        <w:tc>
          <w:tcPr>
            <w:tcW w:w="9242" w:type="dxa"/>
            <w:shd w:val="clear" w:color="auto" w:fill="95B3D7" w:themeFill="accent1" w:themeFillTint="99"/>
          </w:tcPr>
          <w:p w14:paraId="64843462" w14:textId="77777777" w:rsidR="004F5D9A" w:rsidRPr="005954F2" w:rsidRDefault="007B0206" w:rsidP="005777D6">
            <w:pPr>
              <w:rPr>
                <w:b/>
              </w:rPr>
            </w:pPr>
            <w:r w:rsidRPr="005954F2">
              <w:rPr>
                <w:b/>
              </w:rPr>
              <w:t>P</w:t>
            </w:r>
            <w:r w:rsidR="004F5D9A" w:rsidRPr="005954F2">
              <w:rPr>
                <w:b/>
              </w:rPr>
              <w:t xml:space="preserve">athway - </w:t>
            </w:r>
            <w:r w:rsidR="004F5D9A" w:rsidRPr="005954F2">
              <w:t>Ophthalmology Advice calls</w:t>
            </w:r>
            <w:r w:rsidR="004F5D9A" w:rsidRPr="005954F2">
              <w:rPr>
                <w:b/>
              </w:rPr>
              <w:t xml:space="preserve"> </w:t>
            </w:r>
          </w:p>
        </w:tc>
      </w:tr>
      <w:tr w:rsidR="004F5D9A" w14:paraId="79A9EBA9" w14:textId="77777777" w:rsidTr="001352F4">
        <w:tc>
          <w:tcPr>
            <w:tcW w:w="9242" w:type="dxa"/>
            <w:shd w:val="clear" w:color="auto" w:fill="auto"/>
          </w:tcPr>
          <w:p w14:paraId="60D5897B" w14:textId="77777777" w:rsidR="007B0206" w:rsidRPr="005954F2" w:rsidRDefault="007B0206" w:rsidP="007B0206">
            <w:pPr>
              <w:ind w:left="360"/>
            </w:pPr>
          </w:p>
          <w:p w14:paraId="7B0830D0" w14:textId="77777777" w:rsidR="004F5D9A" w:rsidRPr="005954F2" w:rsidRDefault="004F5D9A" w:rsidP="001352F4">
            <w:pPr>
              <w:pStyle w:val="ListParagraph"/>
              <w:numPr>
                <w:ilvl w:val="0"/>
                <w:numId w:val="29"/>
              </w:numPr>
            </w:pPr>
            <w:r w:rsidRPr="005954F2">
              <w:t xml:space="preserve">All paediatric patients a 3-way-call between PCAL nurse, Referrer and Ophthalmologists may be initiated.  </w:t>
            </w:r>
          </w:p>
          <w:p w14:paraId="04458271" w14:textId="77777777" w:rsidR="004F5D9A" w:rsidRPr="005954F2" w:rsidRDefault="004F5D9A" w:rsidP="005777D6">
            <w:pPr>
              <w:rPr>
                <w:b/>
              </w:rPr>
            </w:pPr>
          </w:p>
        </w:tc>
      </w:tr>
      <w:tr w:rsidR="004F5D9A" w14:paraId="734AEBC8" w14:textId="77777777" w:rsidTr="00915E25">
        <w:trPr>
          <w:trHeight w:val="285"/>
        </w:trPr>
        <w:tc>
          <w:tcPr>
            <w:tcW w:w="9242" w:type="dxa"/>
            <w:shd w:val="clear" w:color="auto" w:fill="95B3D7" w:themeFill="accent1" w:themeFillTint="99"/>
          </w:tcPr>
          <w:p w14:paraId="06C29E98" w14:textId="77777777" w:rsidR="004F5D9A" w:rsidRPr="005954F2" w:rsidRDefault="004F5D9A" w:rsidP="00DA6D22">
            <w:pPr>
              <w:rPr>
                <w:b/>
              </w:rPr>
            </w:pPr>
            <w:r w:rsidRPr="005954F2">
              <w:rPr>
                <w:b/>
              </w:rPr>
              <w:t>Additional Information</w:t>
            </w:r>
          </w:p>
        </w:tc>
      </w:tr>
      <w:tr w:rsidR="004F5D9A" w14:paraId="63641758" w14:textId="77777777" w:rsidTr="004E53E7">
        <w:trPr>
          <w:trHeight w:val="285"/>
        </w:trPr>
        <w:tc>
          <w:tcPr>
            <w:tcW w:w="9242" w:type="dxa"/>
            <w:shd w:val="clear" w:color="auto" w:fill="auto"/>
          </w:tcPr>
          <w:p w14:paraId="1C444B33" w14:textId="77777777" w:rsidR="004F5D9A" w:rsidRPr="005954F2" w:rsidRDefault="004F5D9A" w:rsidP="004E53E7">
            <w:pPr>
              <w:pStyle w:val="ListParagraph"/>
              <w:numPr>
                <w:ilvl w:val="0"/>
                <w:numId w:val="27"/>
              </w:numPr>
            </w:pPr>
            <w:r w:rsidRPr="005954F2">
              <w:t>PCAL triage form is completed for all patients and can be viewed via PPM.</w:t>
            </w:r>
          </w:p>
          <w:p w14:paraId="03059A9B" w14:textId="77777777" w:rsidR="004F5D9A" w:rsidRPr="005954F2" w:rsidRDefault="004F5D9A" w:rsidP="004E53E7">
            <w:pPr>
              <w:ind w:left="360"/>
            </w:pPr>
          </w:p>
          <w:p w14:paraId="0908CCD5" w14:textId="77777777" w:rsidR="004F5D9A" w:rsidRPr="005954F2" w:rsidRDefault="004F5D9A" w:rsidP="004E53E7">
            <w:pPr>
              <w:pStyle w:val="ListParagraph"/>
              <w:numPr>
                <w:ilvl w:val="0"/>
                <w:numId w:val="27"/>
              </w:numPr>
            </w:pPr>
            <w:r w:rsidRPr="005954F2">
              <w:t>Where GPs decide that patients require YAS; transport is booked by PCAL team (admin).</w:t>
            </w:r>
          </w:p>
          <w:p w14:paraId="31A6B46A" w14:textId="77777777" w:rsidR="004F5D9A" w:rsidRPr="005954F2" w:rsidRDefault="004F5D9A" w:rsidP="004E53E7"/>
        </w:tc>
      </w:tr>
      <w:tr w:rsidR="004F5D9A" w14:paraId="6BF093A8" w14:textId="77777777" w:rsidTr="00915E25">
        <w:trPr>
          <w:trHeight w:val="285"/>
        </w:trPr>
        <w:tc>
          <w:tcPr>
            <w:tcW w:w="9242" w:type="dxa"/>
            <w:shd w:val="clear" w:color="auto" w:fill="95B3D7" w:themeFill="accent1" w:themeFillTint="99"/>
          </w:tcPr>
          <w:p w14:paraId="11E07B8D" w14:textId="77777777" w:rsidR="004F5D9A" w:rsidRPr="005954F2" w:rsidRDefault="004F5D9A" w:rsidP="00DA6D22">
            <w:r w:rsidRPr="005954F2">
              <w:rPr>
                <w:b/>
              </w:rPr>
              <w:t xml:space="preserve">Risks and Mitigations </w:t>
            </w:r>
          </w:p>
        </w:tc>
      </w:tr>
      <w:tr w:rsidR="004F5D9A" w14:paraId="1BF62D97" w14:textId="77777777" w:rsidTr="00F002E3">
        <w:trPr>
          <w:trHeight w:val="285"/>
        </w:trPr>
        <w:tc>
          <w:tcPr>
            <w:tcW w:w="9242" w:type="dxa"/>
          </w:tcPr>
          <w:p w14:paraId="075D8028" w14:textId="77777777" w:rsidR="004F5D9A" w:rsidRPr="00C603F9" w:rsidRDefault="004F5D9A" w:rsidP="00DA6D22">
            <w:pPr>
              <w:rPr>
                <w:u w:val="single"/>
              </w:rPr>
            </w:pPr>
          </w:p>
          <w:p w14:paraId="290A3634" w14:textId="77777777" w:rsidR="004F5D9A" w:rsidRPr="00C603F9" w:rsidRDefault="004F5D9A" w:rsidP="00DA6D22">
            <w:r w:rsidRPr="00C603F9">
              <w:t>GP’s will refer patients direct to ED via 999 ambulance where there is a clear risk of deterioration and patients’ condition is life-threatening. GP’s do not need to contact PCAL in these circumstances.</w:t>
            </w:r>
          </w:p>
          <w:p w14:paraId="07CE4129" w14:textId="77777777" w:rsidR="004F5D9A" w:rsidRPr="00C603F9" w:rsidRDefault="004F5D9A" w:rsidP="00DA6D22">
            <w:pPr>
              <w:rPr>
                <w:u w:val="single"/>
              </w:rPr>
            </w:pPr>
          </w:p>
          <w:p w14:paraId="0EA67453" w14:textId="77777777" w:rsidR="004F5D9A" w:rsidRPr="00C603F9" w:rsidRDefault="004F5D9A" w:rsidP="00DA6D22">
            <w:pPr>
              <w:rPr>
                <w:u w:val="single"/>
              </w:rPr>
            </w:pPr>
            <w:r w:rsidRPr="00C603F9">
              <w:rPr>
                <w:u w:val="single"/>
              </w:rPr>
              <w:t>External services such as YAS delays:</w:t>
            </w:r>
          </w:p>
          <w:p w14:paraId="22C950FF" w14:textId="77777777" w:rsidR="004F5D9A" w:rsidRPr="00C603F9" w:rsidRDefault="004F5D9A" w:rsidP="00DA6D22">
            <w:pPr>
              <w:rPr>
                <w:u w:val="single"/>
              </w:rPr>
            </w:pPr>
          </w:p>
          <w:p w14:paraId="20350CFF" w14:textId="77777777" w:rsidR="004F5D9A" w:rsidRPr="00C603F9" w:rsidRDefault="004F5D9A" w:rsidP="00DA6D22">
            <w:r w:rsidRPr="00C603F9">
              <w:rPr>
                <w:u w:val="single"/>
              </w:rPr>
              <w:t>Risk:</w:t>
            </w:r>
            <w:r w:rsidRPr="00C603F9">
              <w:t xml:space="preserve"> There is a reliance on transport be it provided by patient or by hospital which could affect the timely access to treatment at the hospital. </w:t>
            </w:r>
          </w:p>
          <w:p w14:paraId="2E405B9E" w14:textId="77777777" w:rsidR="004F5D9A" w:rsidRPr="00C603F9" w:rsidRDefault="004F5D9A" w:rsidP="00DA6D22"/>
          <w:p w14:paraId="76079316" w14:textId="77777777" w:rsidR="004F5D9A" w:rsidRPr="00C603F9" w:rsidRDefault="004F5D9A" w:rsidP="00DA6D22">
            <w:r w:rsidRPr="00C603F9">
              <w:rPr>
                <w:u w:val="single"/>
              </w:rPr>
              <w:t>Mitigation</w:t>
            </w:r>
            <w:r w:rsidRPr="00C603F9">
              <w:t xml:space="preserve">: As </w:t>
            </w:r>
            <w:r w:rsidR="009C0F76">
              <w:t xml:space="preserve">ED </w:t>
            </w:r>
            <w:r w:rsidRPr="00C603F9">
              <w:t>is opened 24/7, this is mitigated by factoring in the impact of transport delays to the time of arrival.</w:t>
            </w:r>
          </w:p>
          <w:p w14:paraId="1BA2B944" w14:textId="77777777" w:rsidR="004F5D9A" w:rsidRPr="00C603F9" w:rsidRDefault="004F5D9A" w:rsidP="00DA6D22">
            <w:pPr>
              <w:rPr>
                <w:u w:val="single"/>
              </w:rPr>
            </w:pPr>
          </w:p>
          <w:p w14:paraId="4CAA2C5C" w14:textId="77777777" w:rsidR="004F5D9A" w:rsidRPr="00C603F9" w:rsidRDefault="004F5D9A" w:rsidP="00DA6D22">
            <w:pPr>
              <w:rPr>
                <w:u w:val="single"/>
              </w:rPr>
            </w:pPr>
            <w:r w:rsidRPr="00C603F9">
              <w:rPr>
                <w:u w:val="single"/>
              </w:rPr>
              <w:t>IT system failures:</w:t>
            </w:r>
          </w:p>
          <w:p w14:paraId="3774AA47" w14:textId="77777777" w:rsidR="004F5D9A" w:rsidRPr="00C603F9" w:rsidRDefault="004F5D9A" w:rsidP="00DA6D22"/>
          <w:p w14:paraId="11B52C01" w14:textId="77777777" w:rsidR="004F5D9A" w:rsidRPr="00C603F9" w:rsidRDefault="004F5D9A" w:rsidP="00DA6D22">
            <w:r w:rsidRPr="00C603F9">
              <w:t xml:space="preserve">PCAL triage / assessment form is completed and saved on PPM and therefore will be affected by IT failures. </w:t>
            </w:r>
          </w:p>
          <w:p w14:paraId="6E65DD67" w14:textId="77777777" w:rsidR="004F5D9A" w:rsidRPr="00C603F9" w:rsidRDefault="004F5D9A" w:rsidP="00DA6D22"/>
          <w:p w14:paraId="54EBBDB7" w14:textId="77777777" w:rsidR="004F5D9A" w:rsidRPr="00C603F9" w:rsidRDefault="004F5D9A" w:rsidP="00DA6D22">
            <w:r w:rsidRPr="00C603F9">
              <w:rPr>
                <w:u w:val="single"/>
              </w:rPr>
              <w:t>Mitigation:</w:t>
            </w:r>
            <w:r w:rsidRPr="00C603F9">
              <w:t xml:space="preserve"> Staff will need to complete paper copy and scan / e-mail to receiving specialty. Patients will need to ensure they attend with a referral letter from the GP especially in those instances.</w:t>
            </w:r>
          </w:p>
          <w:p w14:paraId="72D9F4B6" w14:textId="77777777" w:rsidR="004F5D9A" w:rsidRPr="00C603F9" w:rsidRDefault="004F5D9A" w:rsidP="00DA6D22"/>
          <w:p w14:paraId="2E8DE527" w14:textId="77777777" w:rsidR="004F5D9A" w:rsidRPr="00C603F9" w:rsidRDefault="004F5D9A" w:rsidP="00DA6D22">
            <w:r w:rsidRPr="00C603F9">
              <w:rPr>
                <w:u w:val="single"/>
              </w:rPr>
              <w:t>Deterioration of patients:</w:t>
            </w:r>
          </w:p>
          <w:p w14:paraId="149CC68A" w14:textId="77777777" w:rsidR="004F5D9A" w:rsidRPr="00C603F9" w:rsidRDefault="004F5D9A" w:rsidP="00DA6D22"/>
          <w:p w14:paraId="5D79468A" w14:textId="77777777" w:rsidR="004F5D9A" w:rsidRPr="00C603F9" w:rsidRDefault="004F5D9A" w:rsidP="00DA6D22">
            <w:r w:rsidRPr="00C603F9">
              <w:t xml:space="preserve">Where </w:t>
            </w:r>
            <w:r w:rsidR="009C0F76" w:rsidRPr="00C603F9">
              <w:t>patient’s</w:t>
            </w:r>
            <w:r w:rsidRPr="00C603F9">
              <w:t xml:space="preserve"> condition deteriorates, it is expected that the referrer assesses the patient and a 999 ambulance is requested for patient to attend ED.</w:t>
            </w:r>
          </w:p>
          <w:p w14:paraId="109414FF" w14:textId="77777777" w:rsidR="004F5D9A" w:rsidRPr="00C603F9" w:rsidRDefault="004F5D9A" w:rsidP="00DA6D22">
            <w:pPr>
              <w:rPr>
                <w:b/>
                <w:u w:val="single"/>
              </w:rPr>
            </w:pPr>
          </w:p>
        </w:tc>
      </w:tr>
      <w:tr w:rsidR="004F5D9A" w14:paraId="7EE04568" w14:textId="77777777" w:rsidTr="008250DC">
        <w:trPr>
          <w:trHeight w:val="285"/>
        </w:trPr>
        <w:tc>
          <w:tcPr>
            <w:tcW w:w="9242" w:type="dxa"/>
            <w:shd w:val="clear" w:color="auto" w:fill="95B3D7" w:themeFill="accent1" w:themeFillTint="99"/>
          </w:tcPr>
          <w:p w14:paraId="4E3FC11D" w14:textId="77777777" w:rsidR="004F5D9A" w:rsidRPr="00AC34AC" w:rsidRDefault="004F5D9A" w:rsidP="00DA6D22">
            <w:pPr>
              <w:rPr>
                <w:b/>
                <w:color w:val="FF0000"/>
                <w:u w:val="single"/>
              </w:rPr>
            </w:pPr>
            <w:r w:rsidRPr="00C603F9">
              <w:rPr>
                <w:b/>
              </w:rPr>
              <w:t>Escalation process</w:t>
            </w:r>
          </w:p>
        </w:tc>
      </w:tr>
      <w:tr w:rsidR="004F5D9A" w14:paraId="0A245508" w14:textId="77777777" w:rsidTr="00F002E3">
        <w:trPr>
          <w:trHeight w:val="285"/>
        </w:trPr>
        <w:tc>
          <w:tcPr>
            <w:tcW w:w="9242" w:type="dxa"/>
          </w:tcPr>
          <w:p w14:paraId="7CD398BE" w14:textId="77777777" w:rsidR="004F5D9A" w:rsidRPr="00C603F9" w:rsidRDefault="004F5D9A" w:rsidP="00AE2310">
            <w:r w:rsidRPr="00C603F9">
              <w:t xml:space="preserve">It is expected that when there are pressures within ARC which may prevent them accepting patients referred via PCAL, these are escalated to a member of the triumvirate management team ie GM / HoN / CD for Head and Neck CSU for review. </w:t>
            </w:r>
          </w:p>
          <w:p w14:paraId="5C97BBDD" w14:textId="77777777" w:rsidR="004F5D9A" w:rsidRPr="00AC34AC" w:rsidRDefault="004F5D9A" w:rsidP="00AE2310">
            <w:pPr>
              <w:rPr>
                <w:color w:val="FF0000"/>
              </w:rPr>
            </w:pPr>
          </w:p>
          <w:p w14:paraId="440EFD74" w14:textId="77777777" w:rsidR="004F5D9A" w:rsidRPr="00C603F9" w:rsidRDefault="004F5D9A" w:rsidP="00AE2310">
            <w:r w:rsidRPr="00C603F9">
              <w:t xml:space="preserve">A member of the tri team for H&amp;N will contact a member of the tri team in </w:t>
            </w:r>
            <w:r w:rsidR="009C0F76">
              <w:t xml:space="preserve">Urgent Care (UC) </w:t>
            </w:r>
            <w:r w:rsidRPr="00C603F9">
              <w:t>to inform of pressures and a decision made.</w:t>
            </w:r>
          </w:p>
          <w:p w14:paraId="0E1E21C3" w14:textId="77777777" w:rsidR="004F5D9A" w:rsidRPr="00AC34AC" w:rsidRDefault="004F5D9A" w:rsidP="00DA6D22">
            <w:pPr>
              <w:rPr>
                <w:color w:val="FF0000"/>
              </w:rPr>
            </w:pPr>
            <w:r w:rsidRPr="00AC34AC">
              <w:rPr>
                <w:color w:val="FF0000"/>
              </w:rPr>
              <w:t xml:space="preserve"> </w:t>
            </w:r>
          </w:p>
          <w:p w14:paraId="3501E86B" w14:textId="77777777" w:rsidR="004F5D9A" w:rsidRPr="00C603F9" w:rsidRDefault="004F5D9A" w:rsidP="00DA6D22">
            <w:r w:rsidRPr="00C603F9">
              <w:t>A decision will be made by the tri team (</w:t>
            </w:r>
            <w:r w:rsidR="009C0F76">
              <w:t>UC</w:t>
            </w:r>
            <w:r w:rsidR="009C0F76" w:rsidRPr="00C603F9">
              <w:t xml:space="preserve"> </w:t>
            </w:r>
            <w:r w:rsidRPr="00C603F9">
              <w:t>/ H&amp;N) and the decision could be:</w:t>
            </w:r>
          </w:p>
          <w:p w14:paraId="253E1BA7" w14:textId="77777777" w:rsidR="004F5D9A" w:rsidRPr="00C603F9" w:rsidRDefault="004F5D9A" w:rsidP="00DA6D22"/>
          <w:p w14:paraId="5AB793C8" w14:textId="77777777" w:rsidR="004F5D9A" w:rsidRPr="00C603F9" w:rsidRDefault="004F5D9A" w:rsidP="007E0C39">
            <w:pPr>
              <w:pStyle w:val="ListParagraph"/>
              <w:numPr>
                <w:ilvl w:val="0"/>
                <w:numId w:val="18"/>
              </w:numPr>
            </w:pPr>
            <w:r w:rsidRPr="00C603F9">
              <w:t>Extra criteria to further reduce admissions to that particular pathway /specialty until pressure subsides.</w:t>
            </w:r>
          </w:p>
          <w:p w14:paraId="4FAD4FC0" w14:textId="77777777" w:rsidR="004F5D9A" w:rsidRPr="00C603F9" w:rsidRDefault="004F5D9A" w:rsidP="007E0C39">
            <w:pPr>
              <w:pStyle w:val="ListParagraph"/>
              <w:numPr>
                <w:ilvl w:val="0"/>
                <w:numId w:val="18"/>
              </w:numPr>
            </w:pPr>
            <w:r w:rsidRPr="00C603F9">
              <w:t xml:space="preserve">A request to suspend admitting patients to that particular pathway / specialty until pressure improves. </w:t>
            </w:r>
          </w:p>
          <w:p w14:paraId="46D94866" w14:textId="77777777" w:rsidR="004F5D9A" w:rsidRPr="00AC34AC" w:rsidRDefault="004F5D9A" w:rsidP="007E0C39">
            <w:pPr>
              <w:pStyle w:val="ListParagraph"/>
              <w:rPr>
                <w:color w:val="FF0000"/>
              </w:rPr>
            </w:pPr>
          </w:p>
          <w:p w14:paraId="18BB4E1E" w14:textId="77777777" w:rsidR="004F5D9A" w:rsidRPr="00C603F9" w:rsidRDefault="004F5D9A" w:rsidP="007E0C39">
            <w:r w:rsidRPr="00C603F9">
              <w:t xml:space="preserve">Clear timescales and alternative referral pathway will be given and regular updates provided if pressure continues beyond anticipated timescales. </w:t>
            </w:r>
          </w:p>
          <w:p w14:paraId="64B09F4D" w14:textId="77777777" w:rsidR="004F5D9A" w:rsidRPr="00C603F9" w:rsidRDefault="004F5D9A" w:rsidP="007E0C39"/>
          <w:p w14:paraId="66DC34F9" w14:textId="77777777" w:rsidR="004F5D9A" w:rsidRPr="00C603F9" w:rsidRDefault="004F5D9A" w:rsidP="007E0C39">
            <w:r w:rsidRPr="00C603F9">
              <w:t xml:space="preserve">BM / PCAL staff will be informed by </w:t>
            </w:r>
            <w:r w:rsidR="009C0F76">
              <w:t>UC</w:t>
            </w:r>
            <w:r w:rsidR="009C0F76" w:rsidRPr="00C603F9">
              <w:t xml:space="preserve"> </w:t>
            </w:r>
            <w:r w:rsidRPr="00C603F9">
              <w:t>tri team.</w:t>
            </w:r>
          </w:p>
          <w:p w14:paraId="28E912CB" w14:textId="77777777" w:rsidR="004F5D9A" w:rsidRPr="00C603F9" w:rsidRDefault="004F5D9A" w:rsidP="007E0C39"/>
          <w:p w14:paraId="1082C386" w14:textId="77777777" w:rsidR="004F5D9A" w:rsidRPr="00C603F9" w:rsidRDefault="004F5D9A" w:rsidP="007E0C39">
            <w:r w:rsidRPr="00C603F9">
              <w:t xml:space="preserve">CSMs and other ED Matrons will be informed as well in order to expect possible increased attendance at ED as a result. </w:t>
            </w:r>
          </w:p>
          <w:p w14:paraId="0393B3FD" w14:textId="77777777" w:rsidR="004F5D9A" w:rsidRPr="00C603F9" w:rsidRDefault="004F5D9A" w:rsidP="007E0C39"/>
          <w:p w14:paraId="546CAF40" w14:textId="77777777" w:rsidR="004F5D9A" w:rsidRPr="00C603F9" w:rsidRDefault="004F5D9A" w:rsidP="007E0C39">
            <w:r w:rsidRPr="00C603F9">
              <w:t xml:space="preserve">Once pressure ceases, </w:t>
            </w:r>
            <w:r w:rsidR="009C0F76">
              <w:t>UC</w:t>
            </w:r>
            <w:r w:rsidR="009C0F76" w:rsidRPr="00C603F9">
              <w:t xml:space="preserve"> </w:t>
            </w:r>
            <w:r w:rsidRPr="00C603F9">
              <w:t xml:space="preserve">tri team will be informed by a member of the tri team in H&amp;N and PCAL nurses informed by </w:t>
            </w:r>
            <w:r w:rsidR="009C0F76">
              <w:t>UC</w:t>
            </w:r>
            <w:r w:rsidR="009C0F76" w:rsidRPr="00C603F9">
              <w:t xml:space="preserve"> </w:t>
            </w:r>
            <w:r w:rsidRPr="00C603F9">
              <w:t>tri team to follow normal procedure.</w:t>
            </w:r>
          </w:p>
          <w:p w14:paraId="688C08E2" w14:textId="77777777" w:rsidR="004F5D9A" w:rsidRPr="00C603F9" w:rsidRDefault="004F5D9A" w:rsidP="007E0C39"/>
          <w:p w14:paraId="5F3DAFC0" w14:textId="77777777" w:rsidR="004F5D9A" w:rsidRPr="00C603F9" w:rsidRDefault="004F5D9A" w:rsidP="007E0C39">
            <w:r w:rsidRPr="00C603F9">
              <w:t xml:space="preserve">PCAL nurses will operate as normal until confirmation of change in procedure is communicated to them by </w:t>
            </w:r>
            <w:r w:rsidR="009C0F76">
              <w:t>UC</w:t>
            </w:r>
            <w:r w:rsidR="009C0F76" w:rsidRPr="00C603F9">
              <w:t xml:space="preserve"> </w:t>
            </w:r>
            <w:r w:rsidRPr="00C603F9">
              <w:t>tri team (either via BM or Matron).</w:t>
            </w:r>
          </w:p>
          <w:p w14:paraId="5C8C36EF" w14:textId="77777777" w:rsidR="004F5D9A" w:rsidRPr="00AC34AC" w:rsidRDefault="004F5D9A" w:rsidP="00B1063B">
            <w:pPr>
              <w:rPr>
                <w:color w:val="FF0000"/>
              </w:rPr>
            </w:pPr>
          </w:p>
        </w:tc>
      </w:tr>
      <w:tr w:rsidR="004F5D9A" w14:paraId="322F5C50" w14:textId="77777777" w:rsidTr="000C1CD7">
        <w:trPr>
          <w:trHeight w:val="285"/>
        </w:trPr>
        <w:tc>
          <w:tcPr>
            <w:tcW w:w="9242" w:type="dxa"/>
            <w:shd w:val="clear" w:color="auto" w:fill="95B3D7" w:themeFill="accent1" w:themeFillTint="99"/>
          </w:tcPr>
          <w:p w14:paraId="2EDEBE18" w14:textId="77777777" w:rsidR="004F5D9A" w:rsidRPr="00C603F9" w:rsidRDefault="004F5D9A" w:rsidP="00DA6D22">
            <w:pPr>
              <w:rPr>
                <w:b/>
              </w:rPr>
            </w:pPr>
            <w:r w:rsidRPr="00C603F9">
              <w:rPr>
                <w:b/>
              </w:rPr>
              <w:lastRenderedPageBreak/>
              <w:t>Contacts</w:t>
            </w:r>
          </w:p>
        </w:tc>
      </w:tr>
      <w:tr w:rsidR="004F5D9A" w14:paraId="792603FA" w14:textId="77777777" w:rsidTr="00F002E3">
        <w:trPr>
          <w:trHeight w:val="285"/>
        </w:trPr>
        <w:tc>
          <w:tcPr>
            <w:tcW w:w="9242" w:type="dxa"/>
          </w:tcPr>
          <w:p w14:paraId="5DF52860" w14:textId="58E31140" w:rsidR="004F5D9A" w:rsidRPr="00C603F9" w:rsidRDefault="004F5D9A" w:rsidP="00DA6D22">
            <w:r w:rsidRPr="00C603F9">
              <w:t xml:space="preserve">PCAL telephone number: </w:t>
            </w:r>
            <w:r w:rsidR="00DF1F3D">
              <w:t>0113 20</w:t>
            </w:r>
            <w:r w:rsidRPr="00C603F9">
              <w:t>65996</w:t>
            </w:r>
          </w:p>
          <w:p w14:paraId="211AD760" w14:textId="77777777" w:rsidR="004F5D9A" w:rsidRPr="00C603F9" w:rsidRDefault="004F5D9A" w:rsidP="00DA6D22">
            <w:r w:rsidRPr="00C603F9">
              <w:t xml:space="preserve">PCAL e-mail address: </w:t>
            </w:r>
            <w:hyperlink r:id="rId8" w:history="1">
              <w:r w:rsidR="009C0F76" w:rsidRPr="0040183A">
                <w:rPr>
                  <w:rStyle w:val="Hyperlink"/>
                </w:rPr>
                <w:t>leedsth-tr.pcalleeds@nhs.net</w:t>
              </w:r>
            </w:hyperlink>
          </w:p>
          <w:p w14:paraId="1DC531F4" w14:textId="77777777" w:rsidR="004F5D9A" w:rsidRDefault="004F5D9A" w:rsidP="003822E5">
            <w:r>
              <w:t>Ireland Wood</w:t>
            </w:r>
            <w:r w:rsidR="00E55792">
              <w:t xml:space="preserve">: </w:t>
            </w:r>
          </w:p>
          <w:p w14:paraId="311A1A55" w14:textId="77777777" w:rsidR="004F5D9A" w:rsidRDefault="004F5D9A" w:rsidP="003822E5">
            <w:r>
              <w:t>Eye Casualty</w:t>
            </w:r>
            <w:r w:rsidR="00E55792">
              <w:t>: 0113 2064566</w:t>
            </w:r>
          </w:p>
          <w:p w14:paraId="51710DAA" w14:textId="77777777" w:rsidR="004F5D9A" w:rsidRPr="00C603F9" w:rsidRDefault="004F5D9A" w:rsidP="003822E5"/>
        </w:tc>
      </w:tr>
      <w:tr w:rsidR="004F5D9A" w14:paraId="6586D4A6" w14:textId="77777777" w:rsidTr="00F002E3">
        <w:tc>
          <w:tcPr>
            <w:tcW w:w="9242" w:type="dxa"/>
            <w:shd w:val="clear" w:color="auto" w:fill="8DB3E2" w:themeFill="text2" w:themeFillTint="66"/>
          </w:tcPr>
          <w:p w14:paraId="42738A20" w14:textId="77777777" w:rsidR="004F5D9A" w:rsidRPr="00C603F9" w:rsidRDefault="004F5D9A">
            <w:pPr>
              <w:rPr>
                <w:b/>
              </w:rPr>
            </w:pPr>
            <w:r w:rsidRPr="00C603F9">
              <w:rPr>
                <w:b/>
              </w:rPr>
              <w:t>References</w:t>
            </w:r>
          </w:p>
        </w:tc>
      </w:tr>
      <w:tr w:rsidR="004F5D9A" w14:paraId="5D303C9C" w14:textId="77777777" w:rsidTr="00F002E3">
        <w:tc>
          <w:tcPr>
            <w:tcW w:w="9242" w:type="dxa"/>
          </w:tcPr>
          <w:p w14:paraId="0098DB25" w14:textId="77777777" w:rsidR="004F5D9A" w:rsidRPr="00C603F9" w:rsidRDefault="004F5D9A" w:rsidP="00C94EC3">
            <w:pPr>
              <w:rPr>
                <w:i/>
              </w:rPr>
            </w:pPr>
            <w:r w:rsidRPr="00C603F9">
              <w:rPr>
                <w:i/>
              </w:rPr>
              <w:t xml:space="preserve">Authors: </w:t>
            </w:r>
            <w:r w:rsidR="00FA64B9">
              <w:rPr>
                <w:i/>
              </w:rPr>
              <w:t>Tara Bain</w:t>
            </w:r>
            <w:r w:rsidRPr="00C603F9">
              <w:rPr>
                <w:i/>
              </w:rPr>
              <w:t xml:space="preserve"> (Business</w:t>
            </w:r>
            <w:r w:rsidR="00FA64B9">
              <w:rPr>
                <w:i/>
              </w:rPr>
              <w:t xml:space="preserve"> t</w:t>
            </w:r>
            <w:r w:rsidRPr="00C603F9">
              <w:rPr>
                <w:i/>
              </w:rPr>
              <w:t xml:space="preserve"> Manager), </w:t>
            </w:r>
            <w:r w:rsidR="00FA64B9">
              <w:rPr>
                <w:i/>
              </w:rPr>
              <w:t>Jan Hunter</w:t>
            </w:r>
            <w:r w:rsidRPr="00C603F9">
              <w:rPr>
                <w:i/>
              </w:rPr>
              <w:t xml:space="preserve"> (PCAL </w:t>
            </w:r>
            <w:r w:rsidR="00FA64B9">
              <w:rPr>
                <w:i/>
              </w:rPr>
              <w:t xml:space="preserve">Sister, </w:t>
            </w:r>
          </w:p>
          <w:p w14:paraId="031BD111" w14:textId="77777777" w:rsidR="004F5D9A" w:rsidRPr="00C603F9" w:rsidRDefault="009C0F76" w:rsidP="00C94EC3">
            <w:pPr>
              <w:rPr>
                <w:i/>
              </w:rPr>
            </w:pPr>
            <w:r>
              <w:rPr>
                <w:i/>
              </w:rPr>
              <w:t xml:space="preserve">August  </w:t>
            </w:r>
            <w:r w:rsidR="00FA64B9">
              <w:rPr>
                <w:i/>
              </w:rPr>
              <w:t xml:space="preserve">2021 </w:t>
            </w:r>
          </w:p>
        </w:tc>
      </w:tr>
    </w:tbl>
    <w:p w14:paraId="1E92244B" w14:textId="77777777" w:rsidR="00F002E3" w:rsidRDefault="00F002E3" w:rsidP="00AC34AC">
      <w:pPr>
        <w:tabs>
          <w:tab w:val="left" w:pos="1440"/>
        </w:tabs>
        <w:rPr>
          <w:b/>
          <w:u w:val="single"/>
        </w:rPr>
      </w:pPr>
    </w:p>
    <w:p w14:paraId="678726E3" w14:textId="77777777" w:rsidR="00F002E3" w:rsidRDefault="00F002E3">
      <w:pPr>
        <w:rPr>
          <w:b/>
          <w:u w:val="single"/>
        </w:rPr>
      </w:pPr>
    </w:p>
    <w:p w14:paraId="46EBC3E8" w14:textId="77777777" w:rsidR="00F002E3" w:rsidRDefault="00F002E3">
      <w:pPr>
        <w:rPr>
          <w:b/>
          <w:u w:val="single"/>
        </w:rPr>
      </w:pPr>
    </w:p>
    <w:p w14:paraId="5DC77545" w14:textId="77777777" w:rsidR="00F002E3" w:rsidRDefault="00F002E3">
      <w:pPr>
        <w:rPr>
          <w:b/>
          <w:u w:val="single"/>
        </w:rPr>
      </w:pPr>
    </w:p>
    <w:p w14:paraId="47EAB7AD" w14:textId="77777777" w:rsidR="00F002E3" w:rsidRDefault="00F002E3"/>
    <w:sectPr w:rsidR="00F002E3" w:rsidSect="009E48CE">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3F95" w14:textId="77777777" w:rsidR="00E55F2F" w:rsidRDefault="00E55F2F" w:rsidP="00AD632A">
      <w:r>
        <w:separator/>
      </w:r>
    </w:p>
  </w:endnote>
  <w:endnote w:type="continuationSeparator" w:id="0">
    <w:p w14:paraId="1B3F5CF4" w14:textId="77777777" w:rsidR="00E55F2F" w:rsidRDefault="00E55F2F"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3900" w14:textId="77777777" w:rsidR="00E55F2F" w:rsidRDefault="00E55F2F" w:rsidP="00AD632A">
      <w:r>
        <w:separator/>
      </w:r>
    </w:p>
  </w:footnote>
  <w:footnote w:type="continuationSeparator" w:id="0">
    <w:p w14:paraId="18EC14BF" w14:textId="77777777" w:rsidR="00E55F2F" w:rsidRDefault="00E55F2F"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9D9" w14:textId="77777777" w:rsidR="00E55F2F" w:rsidRDefault="00DF1F3D" w:rsidP="009E48CE">
    <w:pPr>
      <w:pStyle w:val="Header"/>
      <w:tabs>
        <w:tab w:val="clear" w:pos="4513"/>
        <w:tab w:val="clear" w:pos="9026"/>
        <w:tab w:val="left" w:pos="2235"/>
      </w:tabs>
    </w:pPr>
    <w:sdt>
      <w:sdtPr>
        <w:id w:val="85741296"/>
        <w:docPartObj>
          <w:docPartGallery w:val="Watermarks"/>
          <w:docPartUnique/>
        </w:docPartObj>
      </w:sdtPr>
      <w:sdtEndPr/>
      <w:sdtContent>
        <w:r>
          <w:rPr>
            <w:noProof/>
            <w:lang w:val="en-US" w:eastAsia="zh-TW"/>
          </w:rPr>
          <w:pict w14:anchorId="705EA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4068"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55F2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66BB" w14:textId="77777777" w:rsidR="00E55F2F" w:rsidRDefault="00E55F2F">
    <w:pPr>
      <w:pStyle w:val="Header"/>
    </w:pPr>
    <w:r>
      <w:rPr>
        <w:noProof/>
        <w:lang w:eastAsia="en-GB"/>
      </w:rPr>
      <w:drawing>
        <wp:anchor distT="0" distB="0" distL="114300" distR="114300" simplePos="0" relativeHeight="251657216" behindDoc="1" locked="0" layoutInCell="1" allowOverlap="1" wp14:anchorId="79A801DD" wp14:editId="3D5C84C7">
          <wp:simplePos x="0" y="0"/>
          <wp:positionH relativeFrom="column">
            <wp:posOffset>-171450</wp:posOffset>
          </wp:positionH>
          <wp:positionV relativeFrom="page">
            <wp:posOffset>200025</wp:posOffset>
          </wp:positionV>
          <wp:extent cx="6057900" cy="1563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ency Specialty Med Word curve 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7900" cy="1563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C25"/>
    <w:multiLevelType w:val="multilevel"/>
    <w:tmpl w:val="7FEE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CC7D2C"/>
    <w:multiLevelType w:val="hybridMultilevel"/>
    <w:tmpl w:val="B89A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45B5F"/>
    <w:multiLevelType w:val="hybridMultilevel"/>
    <w:tmpl w:val="40CE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D4D12"/>
    <w:multiLevelType w:val="hybridMultilevel"/>
    <w:tmpl w:val="C53E6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71EF5"/>
    <w:multiLevelType w:val="hybridMultilevel"/>
    <w:tmpl w:val="9DE275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347AF8"/>
    <w:multiLevelType w:val="hybridMultilevel"/>
    <w:tmpl w:val="D664684E"/>
    <w:lvl w:ilvl="0" w:tplc="08090001">
      <w:start w:val="1"/>
      <w:numFmt w:val="bullet"/>
      <w:lvlText w:val=""/>
      <w:lvlJc w:val="left"/>
      <w:pPr>
        <w:ind w:left="720" w:hanging="360"/>
      </w:pPr>
      <w:rPr>
        <w:rFonts w:ascii="Symbol" w:hAnsi="Symbol" w:hint="default"/>
      </w:rPr>
    </w:lvl>
    <w:lvl w:ilvl="1" w:tplc="E6CA936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47686"/>
    <w:multiLevelType w:val="hybridMultilevel"/>
    <w:tmpl w:val="97C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E7997"/>
    <w:multiLevelType w:val="hybridMultilevel"/>
    <w:tmpl w:val="DBFE1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9687B"/>
    <w:multiLevelType w:val="hybridMultilevel"/>
    <w:tmpl w:val="DEC6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77F44"/>
    <w:multiLevelType w:val="hybridMultilevel"/>
    <w:tmpl w:val="3BFA46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7A84E0A"/>
    <w:multiLevelType w:val="hybridMultilevel"/>
    <w:tmpl w:val="5C48B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C3164E"/>
    <w:multiLevelType w:val="hybridMultilevel"/>
    <w:tmpl w:val="BB72A82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24A50965"/>
    <w:multiLevelType w:val="hybridMultilevel"/>
    <w:tmpl w:val="8AEE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47F29"/>
    <w:multiLevelType w:val="hybridMultilevel"/>
    <w:tmpl w:val="317C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45E8E"/>
    <w:multiLevelType w:val="hybridMultilevel"/>
    <w:tmpl w:val="8A7A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645DD"/>
    <w:multiLevelType w:val="hybridMultilevel"/>
    <w:tmpl w:val="CBCC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940EB"/>
    <w:multiLevelType w:val="hybridMultilevel"/>
    <w:tmpl w:val="89B2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E154B"/>
    <w:multiLevelType w:val="hybridMultilevel"/>
    <w:tmpl w:val="1436E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E57835"/>
    <w:multiLevelType w:val="multilevel"/>
    <w:tmpl w:val="7FEE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F1396B"/>
    <w:multiLevelType w:val="hybridMultilevel"/>
    <w:tmpl w:val="04B0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C61AE"/>
    <w:multiLevelType w:val="hybridMultilevel"/>
    <w:tmpl w:val="1478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E60DE"/>
    <w:multiLevelType w:val="hybridMultilevel"/>
    <w:tmpl w:val="C736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F3938"/>
    <w:multiLevelType w:val="hybridMultilevel"/>
    <w:tmpl w:val="D2A8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1042A"/>
    <w:multiLevelType w:val="multilevel"/>
    <w:tmpl w:val="CC5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E382A"/>
    <w:multiLevelType w:val="hybridMultilevel"/>
    <w:tmpl w:val="E0B07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8C73B9E"/>
    <w:multiLevelType w:val="multilevel"/>
    <w:tmpl w:val="7FEE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E00E4"/>
    <w:multiLevelType w:val="hybridMultilevel"/>
    <w:tmpl w:val="C1F46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C08C4"/>
    <w:multiLevelType w:val="hybridMultilevel"/>
    <w:tmpl w:val="1678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205E7"/>
    <w:multiLevelType w:val="hybridMultilevel"/>
    <w:tmpl w:val="230A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E291F"/>
    <w:multiLevelType w:val="hybridMultilevel"/>
    <w:tmpl w:val="701A0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F06C3"/>
    <w:multiLevelType w:val="hybridMultilevel"/>
    <w:tmpl w:val="2F762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2037F"/>
    <w:multiLevelType w:val="multilevel"/>
    <w:tmpl w:val="7FEE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FB66EE"/>
    <w:multiLevelType w:val="hybridMultilevel"/>
    <w:tmpl w:val="F7DA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6C72D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CEE6E14"/>
    <w:multiLevelType w:val="hybridMultilevel"/>
    <w:tmpl w:val="8C841D7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5" w15:restartNumberingAfterBreak="0">
    <w:nsid w:val="652A5449"/>
    <w:multiLevelType w:val="hybridMultilevel"/>
    <w:tmpl w:val="2FF2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63CE3"/>
    <w:multiLevelType w:val="hybridMultilevel"/>
    <w:tmpl w:val="8CAA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CC316C"/>
    <w:multiLevelType w:val="hybridMultilevel"/>
    <w:tmpl w:val="8B9A2FD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8" w15:restartNumberingAfterBreak="0">
    <w:nsid w:val="6A0B7AE3"/>
    <w:multiLevelType w:val="multilevel"/>
    <w:tmpl w:val="7FEE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DBE5B03"/>
    <w:multiLevelType w:val="multilevel"/>
    <w:tmpl w:val="7FEE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C31B45"/>
    <w:multiLevelType w:val="hybridMultilevel"/>
    <w:tmpl w:val="969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D82C06"/>
    <w:multiLevelType w:val="multilevel"/>
    <w:tmpl w:val="7FEE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25F0610"/>
    <w:multiLevelType w:val="hybridMultilevel"/>
    <w:tmpl w:val="70D401C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3" w15:restartNumberingAfterBreak="0">
    <w:nsid w:val="74C045A4"/>
    <w:multiLevelType w:val="hybridMultilevel"/>
    <w:tmpl w:val="F306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4675DF"/>
    <w:multiLevelType w:val="hybridMultilevel"/>
    <w:tmpl w:val="1CA0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7"/>
  </w:num>
  <w:num w:numId="4">
    <w:abstractNumId w:val="22"/>
  </w:num>
  <w:num w:numId="5">
    <w:abstractNumId w:val="37"/>
  </w:num>
  <w:num w:numId="6">
    <w:abstractNumId w:val="24"/>
  </w:num>
  <w:num w:numId="7">
    <w:abstractNumId w:val="34"/>
  </w:num>
  <w:num w:numId="8">
    <w:abstractNumId w:val="42"/>
  </w:num>
  <w:num w:numId="9">
    <w:abstractNumId w:val="11"/>
  </w:num>
  <w:num w:numId="10">
    <w:abstractNumId w:val="9"/>
  </w:num>
  <w:num w:numId="11">
    <w:abstractNumId w:val="21"/>
  </w:num>
  <w:num w:numId="12">
    <w:abstractNumId w:val="28"/>
  </w:num>
  <w:num w:numId="13">
    <w:abstractNumId w:val="10"/>
  </w:num>
  <w:num w:numId="14">
    <w:abstractNumId w:val="4"/>
  </w:num>
  <w:num w:numId="15">
    <w:abstractNumId w:val="20"/>
  </w:num>
  <w:num w:numId="16">
    <w:abstractNumId w:val="13"/>
  </w:num>
  <w:num w:numId="17">
    <w:abstractNumId w:val="12"/>
  </w:num>
  <w:num w:numId="18">
    <w:abstractNumId w:val="6"/>
  </w:num>
  <w:num w:numId="19">
    <w:abstractNumId w:val="25"/>
  </w:num>
  <w:num w:numId="20">
    <w:abstractNumId w:val="36"/>
  </w:num>
  <w:num w:numId="21">
    <w:abstractNumId w:val="26"/>
  </w:num>
  <w:num w:numId="22">
    <w:abstractNumId w:val="40"/>
  </w:num>
  <w:num w:numId="23">
    <w:abstractNumId w:val="27"/>
  </w:num>
  <w:num w:numId="24">
    <w:abstractNumId w:val="19"/>
  </w:num>
  <w:num w:numId="25">
    <w:abstractNumId w:val="33"/>
  </w:num>
  <w:num w:numId="26">
    <w:abstractNumId w:val="18"/>
  </w:num>
  <w:num w:numId="27">
    <w:abstractNumId w:val="16"/>
  </w:num>
  <w:num w:numId="28">
    <w:abstractNumId w:val="31"/>
  </w:num>
  <w:num w:numId="29">
    <w:abstractNumId w:val="41"/>
  </w:num>
  <w:num w:numId="30">
    <w:abstractNumId w:val="38"/>
  </w:num>
  <w:num w:numId="31">
    <w:abstractNumId w:val="0"/>
  </w:num>
  <w:num w:numId="32">
    <w:abstractNumId w:val="2"/>
  </w:num>
  <w:num w:numId="33">
    <w:abstractNumId w:val="43"/>
  </w:num>
  <w:num w:numId="34">
    <w:abstractNumId w:val="1"/>
  </w:num>
  <w:num w:numId="35">
    <w:abstractNumId w:val="14"/>
  </w:num>
  <w:num w:numId="36">
    <w:abstractNumId w:val="35"/>
  </w:num>
  <w:num w:numId="37">
    <w:abstractNumId w:val="15"/>
  </w:num>
  <w:num w:numId="38">
    <w:abstractNumId w:val="3"/>
  </w:num>
  <w:num w:numId="39">
    <w:abstractNumId w:val="23"/>
  </w:num>
  <w:num w:numId="40">
    <w:abstractNumId w:val="8"/>
  </w:num>
  <w:num w:numId="41">
    <w:abstractNumId w:val="32"/>
  </w:num>
  <w:num w:numId="42">
    <w:abstractNumId w:val="7"/>
  </w:num>
  <w:num w:numId="43">
    <w:abstractNumId w:val="29"/>
  </w:num>
  <w:num w:numId="44">
    <w:abstractNumId w:val="4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odso/>
  </w:mailMerg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02E3"/>
    <w:rsid w:val="00006606"/>
    <w:rsid w:val="0000749E"/>
    <w:rsid w:val="00010049"/>
    <w:rsid w:val="00021903"/>
    <w:rsid w:val="00030AA1"/>
    <w:rsid w:val="00037B1B"/>
    <w:rsid w:val="00042FDA"/>
    <w:rsid w:val="000704B2"/>
    <w:rsid w:val="00072603"/>
    <w:rsid w:val="000762FF"/>
    <w:rsid w:val="000905E1"/>
    <w:rsid w:val="00093944"/>
    <w:rsid w:val="000A4DFB"/>
    <w:rsid w:val="000B0E49"/>
    <w:rsid w:val="000B3A02"/>
    <w:rsid w:val="000C1CD7"/>
    <w:rsid w:val="000C41C4"/>
    <w:rsid w:val="000D0A60"/>
    <w:rsid w:val="000D46BA"/>
    <w:rsid w:val="000E388D"/>
    <w:rsid w:val="000F0F36"/>
    <w:rsid w:val="000F282C"/>
    <w:rsid w:val="000F4144"/>
    <w:rsid w:val="000F7C34"/>
    <w:rsid w:val="0010191D"/>
    <w:rsid w:val="00102720"/>
    <w:rsid w:val="0010293B"/>
    <w:rsid w:val="001042B7"/>
    <w:rsid w:val="0011270C"/>
    <w:rsid w:val="00113044"/>
    <w:rsid w:val="00114BB0"/>
    <w:rsid w:val="00115C1F"/>
    <w:rsid w:val="00123DBA"/>
    <w:rsid w:val="00127A23"/>
    <w:rsid w:val="0013210B"/>
    <w:rsid w:val="00134956"/>
    <w:rsid w:val="001352F4"/>
    <w:rsid w:val="00136DF5"/>
    <w:rsid w:val="00145650"/>
    <w:rsid w:val="00156CFC"/>
    <w:rsid w:val="00160AC9"/>
    <w:rsid w:val="001624C7"/>
    <w:rsid w:val="001635BB"/>
    <w:rsid w:val="00175736"/>
    <w:rsid w:val="001801FC"/>
    <w:rsid w:val="001A1AA8"/>
    <w:rsid w:val="001B0750"/>
    <w:rsid w:val="001B1D0D"/>
    <w:rsid w:val="001B6D66"/>
    <w:rsid w:val="001C275F"/>
    <w:rsid w:val="001D0BB0"/>
    <w:rsid w:val="001D0C88"/>
    <w:rsid w:val="001D6B93"/>
    <w:rsid w:val="001D70B2"/>
    <w:rsid w:val="001E0AC8"/>
    <w:rsid w:val="001E71F4"/>
    <w:rsid w:val="001E7A5C"/>
    <w:rsid w:val="001F2D79"/>
    <w:rsid w:val="001F76DA"/>
    <w:rsid w:val="00227DE4"/>
    <w:rsid w:val="00233AD6"/>
    <w:rsid w:val="00240A8C"/>
    <w:rsid w:val="0024555A"/>
    <w:rsid w:val="002511CB"/>
    <w:rsid w:val="002541E3"/>
    <w:rsid w:val="00254FB7"/>
    <w:rsid w:val="0026338C"/>
    <w:rsid w:val="00274298"/>
    <w:rsid w:val="00280025"/>
    <w:rsid w:val="00287257"/>
    <w:rsid w:val="002873A7"/>
    <w:rsid w:val="002874EA"/>
    <w:rsid w:val="002A28B1"/>
    <w:rsid w:val="002A5F64"/>
    <w:rsid w:val="002D30EC"/>
    <w:rsid w:val="002D77CE"/>
    <w:rsid w:val="002E0E81"/>
    <w:rsid w:val="002E2F1F"/>
    <w:rsid w:val="00317E50"/>
    <w:rsid w:val="00322539"/>
    <w:rsid w:val="003463D5"/>
    <w:rsid w:val="00347838"/>
    <w:rsid w:val="00347F93"/>
    <w:rsid w:val="003535A0"/>
    <w:rsid w:val="00376598"/>
    <w:rsid w:val="00380CD4"/>
    <w:rsid w:val="003822E5"/>
    <w:rsid w:val="00382507"/>
    <w:rsid w:val="003971F9"/>
    <w:rsid w:val="003B5F4F"/>
    <w:rsid w:val="003E58CE"/>
    <w:rsid w:val="003F105B"/>
    <w:rsid w:val="003F45D2"/>
    <w:rsid w:val="0040272E"/>
    <w:rsid w:val="00404559"/>
    <w:rsid w:val="0040673A"/>
    <w:rsid w:val="00420FD0"/>
    <w:rsid w:val="004274E1"/>
    <w:rsid w:val="00451082"/>
    <w:rsid w:val="00456D31"/>
    <w:rsid w:val="00474379"/>
    <w:rsid w:val="00476E77"/>
    <w:rsid w:val="004821B1"/>
    <w:rsid w:val="00483BB6"/>
    <w:rsid w:val="0049126A"/>
    <w:rsid w:val="004A12AA"/>
    <w:rsid w:val="004A16A4"/>
    <w:rsid w:val="004A7F9A"/>
    <w:rsid w:val="004B2AD6"/>
    <w:rsid w:val="004B60CE"/>
    <w:rsid w:val="004D1095"/>
    <w:rsid w:val="004D312A"/>
    <w:rsid w:val="004D3A3E"/>
    <w:rsid w:val="004E53E7"/>
    <w:rsid w:val="004F0F93"/>
    <w:rsid w:val="004F125C"/>
    <w:rsid w:val="004F51CB"/>
    <w:rsid w:val="004F5D9A"/>
    <w:rsid w:val="00523918"/>
    <w:rsid w:val="005329A3"/>
    <w:rsid w:val="0054778C"/>
    <w:rsid w:val="0055049E"/>
    <w:rsid w:val="00554423"/>
    <w:rsid w:val="00554883"/>
    <w:rsid w:val="005560FC"/>
    <w:rsid w:val="00556DD1"/>
    <w:rsid w:val="005648C8"/>
    <w:rsid w:val="00565676"/>
    <w:rsid w:val="00573571"/>
    <w:rsid w:val="005777D6"/>
    <w:rsid w:val="00584C66"/>
    <w:rsid w:val="00585463"/>
    <w:rsid w:val="005954F2"/>
    <w:rsid w:val="00596772"/>
    <w:rsid w:val="005B2A99"/>
    <w:rsid w:val="005B51AD"/>
    <w:rsid w:val="005E0F77"/>
    <w:rsid w:val="005E7B8F"/>
    <w:rsid w:val="005F365B"/>
    <w:rsid w:val="005F4182"/>
    <w:rsid w:val="00602C99"/>
    <w:rsid w:val="00606046"/>
    <w:rsid w:val="0061349F"/>
    <w:rsid w:val="00635152"/>
    <w:rsid w:val="006410CD"/>
    <w:rsid w:val="0064288F"/>
    <w:rsid w:val="00654303"/>
    <w:rsid w:val="00655256"/>
    <w:rsid w:val="00660901"/>
    <w:rsid w:val="006626A1"/>
    <w:rsid w:val="00665879"/>
    <w:rsid w:val="00666B53"/>
    <w:rsid w:val="006803F9"/>
    <w:rsid w:val="00687C46"/>
    <w:rsid w:val="006C1C1B"/>
    <w:rsid w:val="006D3AE0"/>
    <w:rsid w:val="006F3C9A"/>
    <w:rsid w:val="006F7251"/>
    <w:rsid w:val="00720F27"/>
    <w:rsid w:val="0072492D"/>
    <w:rsid w:val="00725993"/>
    <w:rsid w:val="00733B66"/>
    <w:rsid w:val="007340ED"/>
    <w:rsid w:val="007344D3"/>
    <w:rsid w:val="00744597"/>
    <w:rsid w:val="007574B1"/>
    <w:rsid w:val="007602C3"/>
    <w:rsid w:val="00775432"/>
    <w:rsid w:val="007768FD"/>
    <w:rsid w:val="00781DC3"/>
    <w:rsid w:val="00785927"/>
    <w:rsid w:val="00791FE8"/>
    <w:rsid w:val="007A6AB6"/>
    <w:rsid w:val="007B0206"/>
    <w:rsid w:val="007B502A"/>
    <w:rsid w:val="007C7CA0"/>
    <w:rsid w:val="007E0C39"/>
    <w:rsid w:val="00803584"/>
    <w:rsid w:val="00812D9D"/>
    <w:rsid w:val="00822E41"/>
    <w:rsid w:val="008250DC"/>
    <w:rsid w:val="008259B9"/>
    <w:rsid w:val="00831856"/>
    <w:rsid w:val="008372DE"/>
    <w:rsid w:val="00837892"/>
    <w:rsid w:val="00840C4B"/>
    <w:rsid w:val="00853B1C"/>
    <w:rsid w:val="0085676D"/>
    <w:rsid w:val="0086345D"/>
    <w:rsid w:val="008813AB"/>
    <w:rsid w:val="00881F1C"/>
    <w:rsid w:val="00882424"/>
    <w:rsid w:val="008908B8"/>
    <w:rsid w:val="00891CCF"/>
    <w:rsid w:val="00892FBE"/>
    <w:rsid w:val="00894752"/>
    <w:rsid w:val="00897CB3"/>
    <w:rsid w:val="008B0C3C"/>
    <w:rsid w:val="008C5D2A"/>
    <w:rsid w:val="008C6053"/>
    <w:rsid w:val="008D137C"/>
    <w:rsid w:val="008D6721"/>
    <w:rsid w:val="008E3702"/>
    <w:rsid w:val="008F1C01"/>
    <w:rsid w:val="008F5C1F"/>
    <w:rsid w:val="008F6728"/>
    <w:rsid w:val="009062E8"/>
    <w:rsid w:val="00915E25"/>
    <w:rsid w:val="009254DE"/>
    <w:rsid w:val="009256BA"/>
    <w:rsid w:val="0093705D"/>
    <w:rsid w:val="00961D57"/>
    <w:rsid w:val="0096509C"/>
    <w:rsid w:val="00977342"/>
    <w:rsid w:val="009778F6"/>
    <w:rsid w:val="00986154"/>
    <w:rsid w:val="00994273"/>
    <w:rsid w:val="00994628"/>
    <w:rsid w:val="009A5025"/>
    <w:rsid w:val="009B121E"/>
    <w:rsid w:val="009C0F76"/>
    <w:rsid w:val="009D4E8C"/>
    <w:rsid w:val="009E48CE"/>
    <w:rsid w:val="009F2BC4"/>
    <w:rsid w:val="00A027E6"/>
    <w:rsid w:val="00A027F5"/>
    <w:rsid w:val="00A15A27"/>
    <w:rsid w:val="00A15E4C"/>
    <w:rsid w:val="00A21895"/>
    <w:rsid w:val="00A21A23"/>
    <w:rsid w:val="00A26379"/>
    <w:rsid w:val="00A277CE"/>
    <w:rsid w:val="00A3156B"/>
    <w:rsid w:val="00A37003"/>
    <w:rsid w:val="00A425F2"/>
    <w:rsid w:val="00A449CB"/>
    <w:rsid w:val="00A45342"/>
    <w:rsid w:val="00A465E7"/>
    <w:rsid w:val="00A56142"/>
    <w:rsid w:val="00A612F3"/>
    <w:rsid w:val="00A8764F"/>
    <w:rsid w:val="00A971FD"/>
    <w:rsid w:val="00AA31D8"/>
    <w:rsid w:val="00AC179C"/>
    <w:rsid w:val="00AC34AC"/>
    <w:rsid w:val="00AC74DD"/>
    <w:rsid w:val="00AD632A"/>
    <w:rsid w:val="00AE2310"/>
    <w:rsid w:val="00AE2480"/>
    <w:rsid w:val="00AF2286"/>
    <w:rsid w:val="00AF738C"/>
    <w:rsid w:val="00B027BC"/>
    <w:rsid w:val="00B1063B"/>
    <w:rsid w:val="00B117A3"/>
    <w:rsid w:val="00B1211C"/>
    <w:rsid w:val="00B131E5"/>
    <w:rsid w:val="00B2433A"/>
    <w:rsid w:val="00B30003"/>
    <w:rsid w:val="00B3036C"/>
    <w:rsid w:val="00B41180"/>
    <w:rsid w:val="00B51234"/>
    <w:rsid w:val="00B56DE1"/>
    <w:rsid w:val="00B73888"/>
    <w:rsid w:val="00B804AB"/>
    <w:rsid w:val="00B8095F"/>
    <w:rsid w:val="00B81BAC"/>
    <w:rsid w:val="00B84378"/>
    <w:rsid w:val="00B94D67"/>
    <w:rsid w:val="00BA05D9"/>
    <w:rsid w:val="00BA7548"/>
    <w:rsid w:val="00BC6A2B"/>
    <w:rsid w:val="00BD5C20"/>
    <w:rsid w:val="00BE23BF"/>
    <w:rsid w:val="00BE7A9B"/>
    <w:rsid w:val="00BF14A6"/>
    <w:rsid w:val="00BF2794"/>
    <w:rsid w:val="00C00F1A"/>
    <w:rsid w:val="00C100EF"/>
    <w:rsid w:val="00C11E48"/>
    <w:rsid w:val="00C14B3D"/>
    <w:rsid w:val="00C40E09"/>
    <w:rsid w:val="00C40E11"/>
    <w:rsid w:val="00C4507C"/>
    <w:rsid w:val="00C520E2"/>
    <w:rsid w:val="00C52F44"/>
    <w:rsid w:val="00C603F9"/>
    <w:rsid w:val="00C64052"/>
    <w:rsid w:val="00C678C6"/>
    <w:rsid w:val="00C906A8"/>
    <w:rsid w:val="00C94EC3"/>
    <w:rsid w:val="00CA1460"/>
    <w:rsid w:val="00CA6418"/>
    <w:rsid w:val="00CC305A"/>
    <w:rsid w:val="00CC7D1F"/>
    <w:rsid w:val="00CD1096"/>
    <w:rsid w:val="00CD6601"/>
    <w:rsid w:val="00CD746A"/>
    <w:rsid w:val="00CE3A09"/>
    <w:rsid w:val="00CF13F7"/>
    <w:rsid w:val="00D148E2"/>
    <w:rsid w:val="00D15A45"/>
    <w:rsid w:val="00D1784D"/>
    <w:rsid w:val="00D21303"/>
    <w:rsid w:val="00D350E8"/>
    <w:rsid w:val="00D36521"/>
    <w:rsid w:val="00D42E6C"/>
    <w:rsid w:val="00D4329C"/>
    <w:rsid w:val="00D43B4E"/>
    <w:rsid w:val="00D474DC"/>
    <w:rsid w:val="00D47626"/>
    <w:rsid w:val="00D6178E"/>
    <w:rsid w:val="00D71E67"/>
    <w:rsid w:val="00D74529"/>
    <w:rsid w:val="00D76A58"/>
    <w:rsid w:val="00D83131"/>
    <w:rsid w:val="00D847EE"/>
    <w:rsid w:val="00D84E5B"/>
    <w:rsid w:val="00D97233"/>
    <w:rsid w:val="00DA3A0D"/>
    <w:rsid w:val="00DA3B8D"/>
    <w:rsid w:val="00DA6D22"/>
    <w:rsid w:val="00DB472A"/>
    <w:rsid w:val="00DB476B"/>
    <w:rsid w:val="00DD073B"/>
    <w:rsid w:val="00DF1F3D"/>
    <w:rsid w:val="00DF5A90"/>
    <w:rsid w:val="00E041B9"/>
    <w:rsid w:val="00E05540"/>
    <w:rsid w:val="00E06D69"/>
    <w:rsid w:val="00E2292B"/>
    <w:rsid w:val="00E25B3F"/>
    <w:rsid w:val="00E30351"/>
    <w:rsid w:val="00E30A54"/>
    <w:rsid w:val="00E335AB"/>
    <w:rsid w:val="00E42913"/>
    <w:rsid w:val="00E435FE"/>
    <w:rsid w:val="00E55792"/>
    <w:rsid w:val="00E55F2F"/>
    <w:rsid w:val="00E7306B"/>
    <w:rsid w:val="00E76FE9"/>
    <w:rsid w:val="00E80C8A"/>
    <w:rsid w:val="00E8386F"/>
    <w:rsid w:val="00E97631"/>
    <w:rsid w:val="00EA0772"/>
    <w:rsid w:val="00EA7D99"/>
    <w:rsid w:val="00EC4011"/>
    <w:rsid w:val="00EC5288"/>
    <w:rsid w:val="00EE011C"/>
    <w:rsid w:val="00EF176D"/>
    <w:rsid w:val="00F002E3"/>
    <w:rsid w:val="00F008DF"/>
    <w:rsid w:val="00F02CF2"/>
    <w:rsid w:val="00F04A0C"/>
    <w:rsid w:val="00F0592E"/>
    <w:rsid w:val="00F0757A"/>
    <w:rsid w:val="00F3443B"/>
    <w:rsid w:val="00F57301"/>
    <w:rsid w:val="00F731F4"/>
    <w:rsid w:val="00F85D42"/>
    <w:rsid w:val="00F86225"/>
    <w:rsid w:val="00F875BA"/>
    <w:rsid w:val="00F9091D"/>
    <w:rsid w:val="00FA3732"/>
    <w:rsid w:val="00FA46EB"/>
    <w:rsid w:val="00FA64B9"/>
    <w:rsid w:val="00FB7DE9"/>
    <w:rsid w:val="00FC77E4"/>
    <w:rsid w:val="00FC7880"/>
    <w:rsid w:val="00FE0301"/>
    <w:rsid w:val="00FE0E7B"/>
    <w:rsid w:val="00FE3484"/>
    <w:rsid w:val="00FE6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FDF555"/>
  <w15:docId w15:val="{0FE78277-D056-42A5-BEBC-73FCA418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F0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460"/>
    <w:pPr>
      <w:ind w:left="720"/>
      <w:contextualSpacing/>
    </w:pPr>
  </w:style>
  <w:style w:type="paragraph" w:styleId="BalloonText">
    <w:name w:val="Balloon Text"/>
    <w:basedOn w:val="Normal"/>
    <w:link w:val="BalloonTextChar"/>
    <w:uiPriority w:val="99"/>
    <w:semiHidden/>
    <w:unhideWhenUsed/>
    <w:rsid w:val="005560FC"/>
    <w:rPr>
      <w:rFonts w:ascii="Tahoma" w:hAnsi="Tahoma" w:cs="Tahoma"/>
      <w:sz w:val="16"/>
      <w:szCs w:val="16"/>
    </w:rPr>
  </w:style>
  <w:style w:type="character" w:customStyle="1" w:styleId="BalloonTextChar">
    <w:name w:val="Balloon Text Char"/>
    <w:basedOn w:val="DefaultParagraphFont"/>
    <w:link w:val="BalloonText"/>
    <w:uiPriority w:val="99"/>
    <w:semiHidden/>
    <w:rsid w:val="005560FC"/>
    <w:rPr>
      <w:rFonts w:ascii="Tahoma" w:hAnsi="Tahoma" w:cs="Tahoma"/>
      <w:sz w:val="16"/>
      <w:szCs w:val="16"/>
    </w:rPr>
  </w:style>
  <w:style w:type="character" w:styleId="CommentReference">
    <w:name w:val="annotation reference"/>
    <w:basedOn w:val="DefaultParagraphFont"/>
    <w:uiPriority w:val="99"/>
    <w:semiHidden/>
    <w:unhideWhenUsed/>
    <w:rsid w:val="00A21A23"/>
    <w:rPr>
      <w:sz w:val="16"/>
      <w:szCs w:val="16"/>
    </w:rPr>
  </w:style>
  <w:style w:type="paragraph" w:styleId="CommentText">
    <w:name w:val="annotation text"/>
    <w:basedOn w:val="Normal"/>
    <w:link w:val="CommentTextChar"/>
    <w:uiPriority w:val="99"/>
    <w:semiHidden/>
    <w:unhideWhenUsed/>
    <w:rsid w:val="00A21A23"/>
    <w:rPr>
      <w:sz w:val="20"/>
      <w:szCs w:val="20"/>
    </w:rPr>
  </w:style>
  <w:style w:type="character" w:customStyle="1" w:styleId="CommentTextChar">
    <w:name w:val="Comment Text Char"/>
    <w:basedOn w:val="DefaultParagraphFont"/>
    <w:link w:val="CommentText"/>
    <w:uiPriority w:val="99"/>
    <w:semiHidden/>
    <w:rsid w:val="00A21A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1A23"/>
    <w:rPr>
      <w:b/>
      <w:bCs/>
    </w:rPr>
  </w:style>
  <w:style w:type="character" w:customStyle="1" w:styleId="CommentSubjectChar">
    <w:name w:val="Comment Subject Char"/>
    <w:basedOn w:val="CommentTextChar"/>
    <w:link w:val="CommentSubject"/>
    <w:uiPriority w:val="99"/>
    <w:semiHidden/>
    <w:rsid w:val="00A21A23"/>
    <w:rPr>
      <w:rFonts w:ascii="Arial" w:hAnsi="Arial"/>
      <w:b/>
      <w:bCs/>
      <w:sz w:val="20"/>
      <w:szCs w:val="20"/>
    </w:rPr>
  </w:style>
  <w:style w:type="character" w:styleId="Hyperlink">
    <w:name w:val="Hyperlink"/>
    <w:basedOn w:val="DefaultParagraphFont"/>
    <w:uiPriority w:val="99"/>
    <w:unhideWhenUsed/>
    <w:rsid w:val="00042FDA"/>
    <w:rPr>
      <w:color w:val="0000FF" w:themeColor="hyperlink"/>
      <w:u w:val="single"/>
    </w:rPr>
  </w:style>
  <w:style w:type="paragraph" w:styleId="NormalWeb">
    <w:name w:val="Normal (Web)"/>
    <w:basedOn w:val="Normal"/>
    <w:uiPriority w:val="99"/>
    <w:semiHidden/>
    <w:unhideWhenUsed/>
    <w:rsid w:val="009B121E"/>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B121E"/>
    <w:rPr>
      <w:b/>
      <w:bCs/>
    </w:rPr>
  </w:style>
  <w:style w:type="character" w:styleId="FollowedHyperlink">
    <w:name w:val="FollowedHyperlink"/>
    <w:basedOn w:val="DefaultParagraphFont"/>
    <w:uiPriority w:val="99"/>
    <w:semiHidden/>
    <w:unhideWhenUsed/>
    <w:rsid w:val="009C0F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822">
      <w:bodyDiv w:val="1"/>
      <w:marLeft w:val="0"/>
      <w:marRight w:val="0"/>
      <w:marTop w:val="0"/>
      <w:marBottom w:val="0"/>
      <w:divBdr>
        <w:top w:val="none" w:sz="0" w:space="0" w:color="auto"/>
        <w:left w:val="none" w:sz="0" w:space="0" w:color="auto"/>
        <w:bottom w:val="none" w:sz="0" w:space="0" w:color="auto"/>
        <w:right w:val="none" w:sz="0" w:space="0" w:color="auto"/>
      </w:divBdr>
      <w:divsChild>
        <w:div w:id="1824733782">
          <w:marLeft w:val="0"/>
          <w:marRight w:val="0"/>
          <w:marTop w:val="0"/>
          <w:marBottom w:val="0"/>
          <w:divBdr>
            <w:top w:val="none" w:sz="0" w:space="0" w:color="auto"/>
            <w:left w:val="none" w:sz="0" w:space="0" w:color="auto"/>
            <w:bottom w:val="none" w:sz="0" w:space="0" w:color="auto"/>
            <w:right w:val="none" w:sz="0" w:space="0" w:color="auto"/>
          </w:divBdr>
          <w:divsChild>
            <w:div w:id="994988834">
              <w:marLeft w:val="0"/>
              <w:marRight w:val="0"/>
              <w:marTop w:val="0"/>
              <w:marBottom w:val="0"/>
              <w:divBdr>
                <w:top w:val="none" w:sz="0" w:space="0" w:color="auto"/>
                <w:left w:val="none" w:sz="0" w:space="0" w:color="auto"/>
                <w:bottom w:val="none" w:sz="0" w:space="0" w:color="auto"/>
                <w:right w:val="none" w:sz="0" w:space="0" w:color="auto"/>
              </w:divBdr>
              <w:divsChild>
                <w:div w:id="1731229189">
                  <w:marLeft w:val="0"/>
                  <w:marRight w:val="0"/>
                  <w:marTop w:val="0"/>
                  <w:marBottom w:val="0"/>
                  <w:divBdr>
                    <w:top w:val="none" w:sz="0" w:space="0" w:color="auto"/>
                    <w:left w:val="none" w:sz="0" w:space="0" w:color="auto"/>
                    <w:bottom w:val="none" w:sz="0" w:space="0" w:color="auto"/>
                    <w:right w:val="none" w:sz="0" w:space="0" w:color="auto"/>
                  </w:divBdr>
                  <w:divsChild>
                    <w:div w:id="19448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73184">
      <w:bodyDiv w:val="1"/>
      <w:marLeft w:val="0"/>
      <w:marRight w:val="0"/>
      <w:marTop w:val="0"/>
      <w:marBottom w:val="0"/>
      <w:divBdr>
        <w:top w:val="none" w:sz="0" w:space="0" w:color="auto"/>
        <w:left w:val="none" w:sz="0" w:space="0" w:color="auto"/>
        <w:bottom w:val="none" w:sz="0" w:space="0" w:color="auto"/>
        <w:right w:val="none" w:sz="0" w:space="0" w:color="auto"/>
      </w:divBdr>
    </w:div>
    <w:div w:id="9438500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176">
          <w:marLeft w:val="0"/>
          <w:marRight w:val="0"/>
          <w:marTop w:val="0"/>
          <w:marBottom w:val="0"/>
          <w:divBdr>
            <w:top w:val="none" w:sz="0" w:space="0" w:color="auto"/>
            <w:left w:val="none" w:sz="0" w:space="0" w:color="auto"/>
            <w:bottom w:val="none" w:sz="0" w:space="0" w:color="auto"/>
            <w:right w:val="none" w:sz="0" w:space="0" w:color="auto"/>
          </w:divBdr>
          <w:divsChild>
            <w:div w:id="1190726069">
              <w:marLeft w:val="0"/>
              <w:marRight w:val="0"/>
              <w:marTop w:val="0"/>
              <w:marBottom w:val="0"/>
              <w:divBdr>
                <w:top w:val="none" w:sz="0" w:space="0" w:color="auto"/>
                <w:left w:val="none" w:sz="0" w:space="0" w:color="auto"/>
                <w:bottom w:val="none" w:sz="0" w:space="0" w:color="auto"/>
                <w:right w:val="none" w:sz="0" w:space="0" w:color="auto"/>
              </w:divBdr>
              <w:divsChild>
                <w:div w:id="1641375640">
                  <w:marLeft w:val="0"/>
                  <w:marRight w:val="0"/>
                  <w:marTop w:val="0"/>
                  <w:marBottom w:val="0"/>
                  <w:divBdr>
                    <w:top w:val="none" w:sz="0" w:space="0" w:color="auto"/>
                    <w:left w:val="none" w:sz="0" w:space="0" w:color="auto"/>
                    <w:bottom w:val="none" w:sz="0" w:space="0" w:color="auto"/>
                    <w:right w:val="none" w:sz="0" w:space="0" w:color="auto"/>
                  </w:divBdr>
                  <w:divsChild>
                    <w:div w:id="19124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dsth-tr.pcalleed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A502-8490-43AD-B52E-1F8585F2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Riley-Fuller</dc:creator>
  <cp:lastModifiedBy>Aziz Qamar</cp:lastModifiedBy>
  <cp:revision>4</cp:revision>
  <cp:lastPrinted>2018-09-11T15:27:00Z</cp:lastPrinted>
  <dcterms:created xsi:type="dcterms:W3CDTF">2021-08-09T08:02:00Z</dcterms:created>
  <dcterms:modified xsi:type="dcterms:W3CDTF">2021-08-09T20:04:00Z</dcterms:modified>
</cp:coreProperties>
</file>