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573" w:rsidRDefault="006F6573" w:rsidP="006F6573">
      <w:pPr>
        <w:shd w:val="clear" w:color="auto" w:fill="FFFFFF" w:themeFill="background1"/>
        <w:spacing w:after="0"/>
        <w:jc w:val="both"/>
        <w:rPr>
          <w:rFonts w:ascii="Arial" w:hAnsi="Arial" w:cs="Arial"/>
          <w:sz w:val="20"/>
        </w:rPr>
      </w:pPr>
    </w:p>
    <w:p w:rsidR="006F6573" w:rsidRPr="00FD5B75" w:rsidRDefault="006F6573" w:rsidP="006F6573">
      <w:pPr>
        <w:spacing w:after="0"/>
        <w:jc w:val="both"/>
        <w:rPr>
          <w:rFonts w:ascii="Arial" w:hAnsi="Arial" w:cs="Arial"/>
          <w:sz w:val="22"/>
          <w:szCs w:val="22"/>
        </w:rPr>
      </w:pPr>
    </w:p>
    <w:tbl>
      <w:tblPr>
        <w:tblW w:w="1006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6F6573" w:rsidRPr="00FD5B75" w:rsidTr="00502D22">
        <w:tc>
          <w:tcPr>
            <w:tcW w:w="3119" w:type="dxa"/>
            <w:shd w:val="clear" w:color="auto" w:fill="595959"/>
            <w:vAlign w:val="center"/>
          </w:tcPr>
          <w:p w:rsidR="006F6573" w:rsidRPr="00FD5B75" w:rsidRDefault="006F6573" w:rsidP="00502D22">
            <w:pPr>
              <w:spacing w:after="0" w:line="360" w:lineRule="auto"/>
              <w:rPr>
                <w:rFonts w:ascii="Arial" w:hAnsi="Arial" w:cs="Arial"/>
                <w:b/>
                <w:color w:val="F79646"/>
                <w:sz w:val="22"/>
                <w:szCs w:val="22"/>
              </w:rPr>
            </w:pPr>
            <w:r w:rsidRPr="00FD5B75">
              <w:rPr>
                <w:rFonts w:ascii="Arial" w:hAnsi="Arial" w:cs="Arial"/>
                <w:b/>
                <w:color w:val="F79646"/>
                <w:sz w:val="22"/>
                <w:szCs w:val="22"/>
              </w:rPr>
              <w:t>Service Specification No.</w:t>
            </w:r>
          </w:p>
        </w:tc>
        <w:tc>
          <w:tcPr>
            <w:tcW w:w="6946" w:type="dxa"/>
            <w:shd w:val="clear" w:color="auto" w:fill="auto"/>
            <w:vAlign w:val="center"/>
          </w:tcPr>
          <w:p w:rsidR="006F6573" w:rsidRPr="00FD5B75" w:rsidRDefault="006F6573" w:rsidP="00502D22">
            <w:pPr>
              <w:spacing w:after="0"/>
              <w:rPr>
                <w:rFonts w:ascii="Arial" w:hAnsi="Arial" w:cs="Arial"/>
                <w:sz w:val="22"/>
                <w:szCs w:val="22"/>
              </w:rPr>
            </w:pPr>
            <w:r>
              <w:rPr>
                <w:rFonts w:ascii="Arial" w:hAnsi="Arial" w:cs="Arial"/>
                <w:sz w:val="22"/>
                <w:szCs w:val="22"/>
              </w:rPr>
              <w:t>2021/23</w:t>
            </w:r>
          </w:p>
        </w:tc>
      </w:tr>
      <w:tr w:rsidR="006F6573" w:rsidRPr="00FD5B75" w:rsidTr="00502D22">
        <w:tc>
          <w:tcPr>
            <w:tcW w:w="3119" w:type="dxa"/>
            <w:shd w:val="clear" w:color="auto" w:fill="595959"/>
            <w:vAlign w:val="center"/>
          </w:tcPr>
          <w:p w:rsidR="006F6573" w:rsidRPr="00FD5B75" w:rsidRDefault="006F6573" w:rsidP="00502D22">
            <w:pPr>
              <w:spacing w:after="0" w:line="360" w:lineRule="auto"/>
              <w:rPr>
                <w:rFonts w:ascii="Arial" w:hAnsi="Arial" w:cs="Arial"/>
                <w:b/>
                <w:color w:val="F79646"/>
                <w:sz w:val="22"/>
                <w:szCs w:val="22"/>
              </w:rPr>
            </w:pPr>
            <w:r w:rsidRPr="00FD5B75">
              <w:rPr>
                <w:rFonts w:ascii="Arial" w:hAnsi="Arial" w:cs="Arial"/>
                <w:b/>
                <w:color w:val="F79646"/>
                <w:sz w:val="22"/>
                <w:szCs w:val="22"/>
              </w:rPr>
              <w:t>Service</w:t>
            </w:r>
          </w:p>
        </w:tc>
        <w:tc>
          <w:tcPr>
            <w:tcW w:w="6946" w:type="dxa"/>
            <w:shd w:val="clear" w:color="auto" w:fill="auto"/>
            <w:vAlign w:val="center"/>
          </w:tcPr>
          <w:p w:rsidR="006F6573" w:rsidRPr="00FD5B75" w:rsidRDefault="006F6573" w:rsidP="00502D22">
            <w:pPr>
              <w:spacing w:after="0"/>
              <w:rPr>
                <w:rFonts w:ascii="Arial" w:hAnsi="Arial" w:cs="Arial"/>
                <w:sz w:val="22"/>
                <w:szCs w:val="22"/>
              </w:rPr>
            </w:pPr>
            <w:r w:rsidRPr="00FD5B75">
              <w:rPr>
                <w:rFonts w:ascii="Arial" w:hAnsi="Arial" w:cs="Arial"/>
                <w:sz w:val="22"/>
                <w:szCs w:val="22"/>
              </w:rPr>
              <w:t>Stable Glaucoma</w:t>
            </w:r>
          </w:p>
        </w:tc>
      </w:tr>
      <w:tr w:rsidR="006F6573" w:rsidRPr="00FD5B75" w:rsidTr="00502D22">
        <w:tc>
          <w:tcPr>
            <w:tcW w:w="3119" w:type="dxa"/>
            <w:shd w:val="clear" w:color="auto" w:fill="595959"/>
            <w:vAlign w:val="center"/>
          </w:tcPr>
          <w:p w:rsidR="006F6573" w:rsidRPr="00FD5B75" w:rsidRDefault="006F6573" w:rsidP="00502D22">
            <w:pPr>
              <w:spacing w:after="0" w:line="360" w:lineRule="auto"/>
              <w:rPr>
                <w:rFonts w:ascii="Arial" w:hAnsi="Arial" w:cs="Arial"/>
                <w:b/>
                <w:color w:val="F79646"/>
                <w:sz w:val="22"/>
                <w:szCs w:val="22"/>
              </w:rPr>
            </w:pPr>
            <w:r w:rsidRPr="00FD5B75">
              <w:rPr>
                <w:rFonts w:ascii="Arial" w:hAnsi="Arial" w:cs="Arial"/>
                <w:b/>
                <w:color w:val="F79646"/>
                <w:sz w:val="22"/>
                <w:szCs w:val="22"/>
              </w:rPr>
              <w:t>Commissioner Lead</w:t>
            </w:r>
          </w:p>
        </w:tc>
        <w:tc>
          <w:tcPr>
            <w:tcW w:w="6946" w:type="dxa"/>
            <w:shd w:val="clear" w:color="auto" w:fill="auto"/>
            <w:vAlign w:val="center"/>
          </w:tcPr>
          <w:p w:rsidR="006F6573" w:rsidRPr="00FD5B75" w:rsidRDefault="006F6573" w:rsidP="00502D22">
            <w:pPr>
              <w:spacing w:after="0"/>
              <w:rPr>
                <w:rFonts w:ascii="Arial" w:hAnsi="Arial" w:cs="Arial"/>
                <w:sz w:val="22"/>
                <w:szCs w:val="22"/>
              </w:rPr>
            </w:pPr>
            <w:r>
              <w:rPr>
                <w:rFonts w:ascii="Arial" w:hAnsi="Arial" w:cs="Arial"/>
                <w:sz w:val="22"/>
                <w:szCs w:val="22"/>
              </w:rPr>
              <w:t>Sophie Sitch</w:t>
            </w:r>
          </w:p>
        </w:tc>
      </w:tr>
      <w:tr w:rsidR="006F6573" w:rsidRPr="00FD5B75" w:rsidTr="00502D22">
        <w:tc>
          <w:tcPr>
            <w:tcW w:w="3119" w:type="dxa"/>
            <w:shd w:val="clear" w:color="auto" w:fill="595959"/>
            <w:vAlign w:val="center"/>
          </w:tcPr>
          <w:p w:rsidR="006F6573" w:rsidRPr="00FD5B75" w:rsidRDefault="006F6573" w:rsidP="00502D22">
            <w:pPr>
              <w:spacing w:after="0" w:line="360" w:lineRule="auto"/>
              <w:rPr>
                <w:rFonts w:ascii="Arial" w:hAnsi="Arial" w:cs="Arial"/>
                <w:b/>
                <w:color w:val="F79646"/>
                <w:sz w:val="22"/>
                <w:szCs w:val="22"/>
              </w:rPr>
            </w:pPr>
            <w:r w:rsidRPr="00FD5B75">
              <w:rPr>
                <w:rFonts w:ascii="Arial" w:hAnsi="Arial" w:cs="Arial"/>
                <w:b/>
                <w:color w:val="F79646"/>
                <w:sz w:val="22"/>
                <w:szCs w:val="22"/>
              </w:rPr>
              <w:t>Provider Lead</w:t>
            </w:r>
          </w:p>
        </w:tc>
        <w:tc>
          <w:tcPr>
            <w:tcW w:w="6946" w:type="dxa"/>
            <w:shd w:val="clear" w:color="auto" w:fill="auto"/>
            <w:vAlign w:val="center"/>
          </w:tcPr>
          <w:p w:rsidR="006F6573" w:rsidRPr="00FD5B75" w:rsidRDefault="006F6573" w:rsidP="00502D22">
            <w:pPr>
              <w:spacing w:after="0"/>
              <w:rPr>
                <w:rFonts w:ascii="Arial" w:hAnsi="Arial" w:cs="Arial"/>
                <w:sz w:val="22"/>
                <w:szCs w:val="22"/>
              </w:rPr>
            </w:pPr>
            <w:r w:rsidRPr="00FD5B75">
              <w:rPr>
                <w:rFonts w:ascii="Arial" w:hAnsi="Arial" w:cs="Arial"/>
                <w:sz w:val="22"/>
                <w:szCs w:val="22"/>
              </w:rPr>
              <w:t>This specification is contracted to the Optometry contractor who must ensure all performers providing this service meet the requirements.</w:t>
            </w:r>
          </w:p>
        </w:tc>
      </w:tr>
      <w:tr w:rsidR="006F6573" w:rsidRPr="00FD5B75" w:rsidTr="00502D22">
        <w:tc>
          <w:tcPr>
            <w:tcW w:w="3119" w:type="dxa"/>
            <w:shd w:val="clear" w:color="auto" w:fill="595959"/>
            <w:vAlign w:val="center"/>
          </w:tcPr>
          <w:p w:rsidR="006F6573" w:rsidRPr="00FD5B75" w:rsidRDefault="006F6573" w:rsidP="00502D22">
            <w:pPr>
              <w:spacing w:after="0" w:line="360" w:lineRule="auto"/>
              <w:rPr>
                <w:rFonts w:ascii="Arial" w:hAnsi="Arial" w:cs="Arial"/>
                <w:b/>
                <w:color w:val="F79646"/>
                <w:sz w:val="22"/>
                <w:szCs w:val="22"/>
              </w:rPr>
            </w:pPr>
            <w:r w:rsidRPr="00FD5B75">
              <w:rPr>
                <w:rFonts w:ascii="Arial" w:hAnsi="Arial" w:cs="Arial"/>
                <w:b/>
                <w:color w:val="F79646"/>
                <w:sz w:val="22"/>
                <w:szCs w:val="22"/>
              </w:rPr>
              <w:t>Period</w:t>
            </w:r>
          </w:p>
        </w:tc>
        <w:tc>
          <w:tcPr>
            <w:tcW w:w="6946" w:type="dxa"/>
            <w:shd w:val="clear" w:color="auto" w:fill="auto"/>
            <w:vAlign w:val="center"/>
          </w:tcPr>
          <w:p w:rsidR="006F6573" w:rsidRPr="00FD5B75" w:rsidRDefault="006F6573" w:rsidP="00502D22">
            <w:pPr>
              <w:spacing w:after="0"/>
              <w:rPr>
                <w:rFonts w:ascii="Arial" w:hAnsi="Arial" w:cs="Arial"/>
                <w:sz w:val="22"/>
                <w:szCs w:val="22"/>
              </w:rPr>
            </w:pPr>
            <w:r w:rsidRPr="00FD5B75">
              <w:rPr>
                <w:rFonts w:ascii="Arial" w:hAnsi="Arial" w:cs="Arial"/>
                <w:sz w:val="22"/>
                <w:szCs w:val="22"/>
              </w:rPr>
              <w:t>01/04/</w:t>
            </w:r>
            <w:r>
              <w:rPr>
                <w:rFonts w:ascii="Arial" w:hAnsi="Arial" w:cs="Arial"/>
                <w:sz w:val="22"/>
                <w:szCs w:val="22"/>
              </w:rPr>
              <w:t>2021 / 31/03/2023</w:t>
            </w:r>
          </w:p>
        </w:tc>
      </w:tr>
      <w:tr w:rsidR="006F6573" w:rsidRPr="00FD5B75" w:rsidTr="00502D22">
        <w:tc>
          <w:tcPr>
            <w:tcW w:w="3119" w:type="dxa"/>
            <w:shd w:val="clear" w:color="auto" w:fill="595959"/>
            <w:vAlign w:val="center"/>
          </w:tcPr>
          <w:p w:rsidR="006F6573" w:rsidRPr="00FD5B75" w:rsidRDefault="006F6573" w:rsidP="00502D22">
            <w:pPr>
              <w:spacing w:after="0" w:line="360" w:lineRule="auto"/>
              <w:rPr>
                <w:rFonts w:ascii="Arial" w:hAnsi="Arial" w:cs="Arial"/>
                <w:b/>
                <w:color w:val="F79646"/>
                <w:sz w:val="22"/>
                <w:szCs w:val="22"/>
              </w:rPr>
            </w:pPr>
            <w:r w:rsidRPr="00FD5B75">
              <w:rPr>
                <w:rFonts w:ascii="Arial" w:hAnsi="Arial" w:cs="Arial"/>
                <w:b/>
                <w:color w:val="F79646"/>
                <w:sz w:val="22"/>
                <w:szCs w:val="22"/>
              </w:rPr>
              <w:t>Date of Review</w:t>
            </w:r>
          </w:p>
        </w:tc>
        <w:tc>
          <w:tcPr>
            <w:tcW w:w="6946" w:type="dxa"/>
            <w:shd w:val="clear" w:color="auto" w:fill="auto"/>
            <w:vAlign w:val="center"/>
          </w:tcPr>
          <w:p w:rsidR="006F6573" w:rsidRPr="00FD5B75" w:rsidRDefault="006F6573" w:rsidP="00502D22">
            <w:pPr>
              <w:spacing w:after="0"/>
              <w:rPr>
                <w:rFonts w:ascii="Arial" w:hAnsi="Arial" w:cs="Arial"/>
                <w:sz w:val="22"/>
                <w:szCs w:val="22"/>
              </w:rPr>
            </w:pPr>
            <w:r>
              <w:rPr>
                <w:rFonts w:ascii="Arial" w:hAnsi="Arial" w:cs="Arial"/>
                <w:sz w:val="22"/>
                <w:szCs w:val="22"/>
              </w:rPr>
              <w:t>10/10/2022</w:t>
            </w:r>
          </w:p>
        </w:tc>
      </w:tr>
    </w:tbl>
    <w:p w:rsidR="006F6573" w:rsidRPr="00CB05AB" w:rsidRDefault="006F6573" w:rsidP="006F6573">
      <w:pPr>
        <w:tabs>
          <w:tab w:val="left" w:pos="1125"/>
        </w:tabs>
        <w:spacing w:after="0"/>
        <w:rPr>
          <w:rFonts w:ascii="Arial" w:hAnsi="Arial" w:cs="Arial"/>
          <w:sz w:val="12"/>
          <w:szCs w:val="22"/>
        </w:rPr>
      </w:pPr>
      <w:r>
        <w:rPr>
          <w:rFonts w:ascii="Arial" w:hAnsi="Arial" w:cs="Arial"/>
          <w:sz w:val="22"/>
          <w:szCs w:val="22"/>
        </w:rPr>
        <w:tab/>
      </w:r>
    </w:p>
    <w:tbl>
      <w:tblPr>
        <w:tblW w:w="10065"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F6573" w:rsidRPr="00FD5B75" w:rsidTr="00502D22">
        <w:tc>
          <w:tcPr>
            <w:tcW w:w="10065" w:type="dxa"/>
            <w:shd w:val="clear" w:color="auto" w:fill="595959"/>
          </w:tcPr>
          <w:p w:rsidR="006F6573" w:rsidRPr="00FD5B75" w:rsidRDefault="006F6573" w:rsidP="00502D22">
            <w:pPr>
              <w:spacing w:after="0" w:line="276" w:lineRule="auto"/>
              <w:rPr>
                <w:rFonts w:ascii="Arial" w:hAnsi="Arial" w:cs="Arial"/>
                <w:b/>
                <w:color w:val="F79646"/>
                <w:sz w:val="22"/>
                <w:szCs w:val="22"/>
              </w:rPr>
            </w:pPr>
            <w:r w:rsidRPr="00FD5B75">
              <w:rPr>
                <w:rFonts w:ascii="Arial" w:hAnsi="Arial" w:cs="Arial"/>
                <w:b/>
                <w:color w:val="F79646"/>
                <w:sz w:val="22"/>
                <w:szCs w:val="22"/>
              </w:rPr>
              <w:t>1.</w:t>
            </w:r>
            <w:r w:rsidRPr="00FD5B75">
              <w:rPr>
                <w:rFonts w:ascii="Arial" w:hAnsi="Arial" w:cs="Arial"/>
                <w:b/>
                <w:color w:val="F79646"/>
                <w:sz w:val="22"/>
                <w:szCs w:val="22"/>
              </w:rPr>
              <w:tab/>
              <w:t>Population Needs</w:t>
            </w:r>
          </w:p>
        </w:tc>
      </w:tr>
      <w:tr w:rsidR="006F6573" w:rsidRPr="00FD5B75" w:rsidTr="00502D22">
        <w:tc>
          <w:tcPr>
            <w:tcW w:w="10065" w:type="dxa"/>
            <w:shd w:val="clear" w:color="auto" w:fill="auto"/>
          </w:tcPr>
          <w:p w:rsidR="006F6573" w:rsidRPr="00FD5B75" w:rsidRDefault="006F6573" w:rsidP="00502D22">
            <w:pPr>
              <w:spacing w:after="0"/>
              <w:ind w:left="360"/>
              <w:rPr>
                <w:rFonts w:ascii="Arial" w:hAnsi="Arial" w:cs="Arial"/>
                <w:color w:val="009966"/>
                <w:sz w:val="22"/>
                <w:szCs w:val="22"/>
              </w:rPr>
            </w:pPr>
            <w:r w:rsidRPr="00FD5B75">
              <w:rPr>
                <w:rFonts w:ascii="Arial" w:hAnsi="Arial" w:cs="Arial"/>
                <w:color w:val="009966"/>
                <w:sz w:val="22"/>
                <w:szCs w:val="22"/>
              </w:rPr>
              <w:tab/>
            </w:r>
          </w:p>
          <w:p w:rsidR="006F6573" w:rsidRPr="00FD5B75" w:rsidRDefault="006F6573" w:rsidP="006F6573">
            <w:pPr>
              <w:numPr>
                <w:ilvl w:val="1"/>
                <w:numId w:val="2"/>
              </w:numPr>
              <w:spacing w:after="0"/>
              <w:rPr>
                <w:rFonts w:ascii="Arial" w:hAnsi="Arial" w:cs="Arial"/>
                <w:b/>
                <w:color w:val="009966"/>
                <w:sz w:val="22"/>
                <w:szCs w:val="22"/>
              </w:rPr>
            </w:pPr>
            <w:r w:rsidRPr="00FD5B75">
              <w:rPr>
                <w:rFonts w:ascii="Arial" w:hAnsi="Arial" w:cs="Arial"/>
                <w:b/>
                <w:color w:val="009966"/>
                <w:sz w:val="22"/>
                <w:szCs w:val="22"/>
              </w:rPr>
              <w:tab/>
              <w:t>National/local context and evidence base</w:t>
            </w:r>
          </w:p>
          <w:p w:rsidR="006F6573" w:rsidRPr="00FD5B75" w:rsidRDefault="006F6573" w:rsidP="00502D22">
            <w:pPr>
              <w:spacing w:after="0"/>
              <w:ind w:left="360"/>
              <w:rPr>
                <w:rFonts w:ascii="Arial" w:hAnsi="Arial" w:cs="Arial"/>
                <w:b/>
                <w:color w:val="009966"/>
                <w:sz w:val="8"/>
                <w:szCs w:val="22"/>
              </w:rPr>
            </w:pPr>
          </w:p>
          <w:p w:rsidR="006F6573" w:rsidRPr="00FD5B75" w:rsidRDefault="006F6573" w:rsidP="00502D22">
            <w:pPr>
              <w:spacing w:after="0"/>
              <w:jc w:val="both"/>
              <w:rPr>
                <w:rFonts w:ascii="Arial" w:hAnsi="Arial" w:cs="Arial"/>
                <w:color w:val="000000"/>
                <w:sz w:val="22"/>
                <w:szCs w:val="22"/>
              </w:rPr>
            </w:pPr>
            <w:r w:rsidRPr="00FD5B75">
              <w:rPr>
                <w:rFonts w:ascii="Arial" w:hAnsi="Arial" w:cs="Arial"/>
                <w:color w:val="000000"/>
                <w:sz w:val="22"/>
                <w:szCs w:val="22"/>
              </w:rPr>
              <w:t xml:space="preserve">Glaucoma is a condition that causes severe visual impairment and blindness if left untreated.  It has been associated with poor quality of life and loss of independence, such as falls and losing the ability to drive.  Glaucoma is a high volume and resource demanding disease where significant efficiencies may be made by decentralising care and providing a robust form of shared care with an emphasis on care closer to home.  </w:t>
            </w:r>
          </w:p>
          <w:p w:rsidR="006F6573" w:rsidRPr="00FD5B75" w:rsidRDefault="006F6573" w:rsidP="00502D22">
            <w:pPr>
              <w:spacing w:after="0"/>
              <w:jc w:val="both"/>
              <w:rPr>
                <w:rFonts w:ascii="Arial" w:hAnsi="Arial" w:cs="Arial"/>
                <w:color w:val="000000"/>
                <w:sz w:val="14"/>
                <w:szCs w:val="22"/>
              </w:rPr>
            </w:pPr>
          </w:p>
          <w:p w:rsidR="006F6573" w:rsidRPr="00FD5B75" w:rsidRDefault="006F6573" w:rsidP="00502D22">
            <w:pPr>
              <w:spacing w:after="0"/>
              <w:jc w:val="both"/>
              <w:rPr>
                <w:rFonts w:ascii="Arial" w:hAnsi="Arial" w:cs="Arial"/>
                <w:color w:val="000000"/>
                <w:sz w:val="22"/>
                <w:szCs w:val="22"/>
              </w:rPr>
            </w:pPr>
            <w:r w:rsidRPr="00FD5B75">
              <w:rPr>
                <w:rFonts w:ascii="Arial" w:hAnsi="Arial" w:cs="Arial"/>
                <w:color w:val="000000"/>
                <w:sz w:val="22"/>
                <w:szCs w:val="22"/>
              </w:rPr>
              <w:t>The disease itself cannot be prevented but its impact on sight can be minimised through effective lifelong monitoring.  Sharing the care of patients who are at relatively low risk of progression, between the hospital eye service and suitably trained community providers, has the potential to reduce costs</w:t>
            </w:r>
            <w:r w:rsidRPr="00FD5B75">
              <w:rPr>
                <w:rStyle w:val="FootnoteReference"/>
                <w:rFonts w:ascii="Arial" w:hAnsi="Arial" w:cs="Arial"/>
                <w:color w:val="000000"/>
                <w:sz w:val="22"/>
                <w:szCs w:val="22"/>
              </w:rPr>
              <w:footnoteReference w:id="1"/>
            </w:r>
            <w:r w:rsidRPr="00FD5B75">
              <w:rPr>
                <w:rFonts w:ascii="Arial" w:hAnsi="Arial" w:cs="Arial"/>
                <w:color w:val="000000"/>
                <w:sz w:val="22"/>
                <w:szCs w:val="22"/>
              </w:rPr>
              <w:t>.</w:t>
            </w:r>
          </w:p>
          <w:p w:rsidR="006F6573" w:rsidRPr="00FD5B75" w:rsidRDefault="006F6573" w:rsidP="00502D22">
            <w:pPr>
              <w:spacing w:after="0"/>
              <w:jc w:val="both"/>
              <w:rPr>
                <w:rFonts w:ascii="Arial" w:hAnsi="Arial" w:cs="Arial"/>
                <w:color w:val="000000"/>
                <w:sz w:val="16"/>
                <w:szCs w:val="22"/>
              </w:rPr>
            </w:pPr>
          </w:p>
          <w:p w:rsidR="006F6573" w:rsidRDefault="006F6573" w:rsidP="00502D22">
            <w:pPr>
              <w:spacing w:after="0"/>
              <w:jc w:val="both"/>
              <w:rPr>
                <w:rFonts w:ascii="Arial" w:hAnsi="Arial" w:cs="Arial"/>
                <w:sz w:val="22"/>
                <w:szCs w:val="22"/>
                <w:lang w:val="en-GB" w:eastAsia="en-US"/>
              </w:rPr>
            </w:pPr>
            <w:r w:rsidRPr="00FD5B75">
              <w:rPr>
                <w:rFonts w:ascii="Arial" w:hAnsi="Arial" w:cs="Arial"/>
                <w:sz w:val="22"/>
                <w:szCs w:val="22"/>
                <w:lang w:val="en-GB" w:eastAsia="en-US"/>
              </w:rPr>
              <w:t>As the population ages, the incidence and burden of eye disease is set to increase.  In England and Wales the number of cases of glaucoma is likely to increase by a third by 2021.</w:t>
            </w:r>
          </w:p>
          <w:p w:rsidR="006F6573" w:rsidRPr="00CB05AB" w:rsidRDefault="006F6573" w:rsidP="00502D22">
            <w:pPr>
              <w:spacing w:after="0"/>
              <w:jc w:val="both"/>
              <w:rPr>
                <w:rFonts w:ascii="Arial" w:hAnsi="Arial" w:cs="Arial"/>
                <w:sz w:val="14"/>
                <w:szCs w:val="22"/>
                <w:lang w:val="en-GB" w:eastAsia="en-US"/>
              </w:rPr>
            </w:pPr>
          </w:p>
          <w:p w:rsidR="006F6573" w:rsidRPr="00FD5B75" w:rsidRDefault="006F6573" w:rsidP="00502D22">
            <w:pPr>
              <w:spacing w:after="0"/>
              <w:jc w:val="both"/>
              <w:rPr>
                <w:rFonts w:ascii="Arial" w:hAnsi="Arial" w:cs="Arial"/>
                <w:color w:val="000000"/>
                <w:sz w:val="22"/>
                <w:szCs w:val="22"/>
              </w:rPr>
            </w:pPr>
            <w:r w:rsidRPr="00FD5B75">
              <w:rPr>
                <w:rFonts w:ascii="Arial" w:hAnsi="Arial" w:cs="Arial"/>
                <w:color w:val="000000"/>
                <w:sz w:val="22"/>
                <w:szCs w:val="22"/>
              </w:rPr>
              <w:t xml:space="preserve">There is already a significant demand on the local hospital service and a need to expand the availability of community services across the city in order to help relieve some of these pressures.  </w:t>
            </w:r>
            <w:r w:rsidRPr="00FD5B75">
              <w:rPr>
                <w:rFonts w:ascii="Arial" w:hAnsi="Arial" w:cs="Arial"/>
                <w:sz w:val="22"/>
                <w:szCs w:val="22"/>
                <w:lang w:val="en-GB" w:eastAsia="en-US"/>
              </w:rPr>
              <w:t xml:space="preserve">The redesign of clinical pathways away from traditional acute care is supported by the Royal College of Ophthalmologists, the Optical Confederation and LOC Support Unit.  </w:t>
            </w:r>
          </w:p>
          <w:p w:rsidR="006F6573" w:rsidRPr="00FD5B75" w:rsidRDefault="006F6573" w:rsidP="00502D22">
            <w:pPr>
              <w:spacing w:after="0"/>
              <w:jc w:val="both"/>
              <w:rPr>
                <w:rFonts w:ascii="Arial" w:hAnsi="Arial" w:cs="Arial"/>
                <w:color w:val="000000"/>
                <w:sz w:val="12"/>
                <w:szCs w:val="22"/>
              </w:rPr>
            </w:pPr>
          </w:p>
          <w:p w:rsidR="006F6573" w:rsidRPr="00FD5B75" w:rsidRDefault="006F6573" w:rsidP="00502D22">
            <w:pPr>
              <w:spacing w:after="0"/>
              <w:jc w:val="both"/>
              <w:rPr>
                <w:rFonts w:ascii="Arial" w:hAnsi="Arial" w:cs="Arial"/>
                <w:color w:val="000000"/>
                <w:sz w:val="22"/>
                <w:szCs w:val="22"/>
              </w:rPr>
            </w:pPr>
            <w:r w:rsidRPr="00FD5B75">
              <w:rPr>
                <w:rFonts w:ascii="Arial" w:hAnsi="Arial" w:cs="Arial"/>
                <w:color w:val="000000"/>
                <w:sz w:val="22"/>
                <w:szCs w:val="22"/>
              </w:rPr>
              <w:t>Previous surveys conducted by the LOC have indicated there is overwhelming support for community based services.</w:t>
            </w:r>
          </w:p>
          <w:p w:rsidR="006F6573" w:rsidRPr="00FD5B75" w:rsidRDefault="006F6573" w:rsidP="00502D22">
            <w:pPr>
              <w:spacing w:after="0"/>
              <w:jc w:val="both"/>
              <w:rPr>
                <w:rFonts w:ascii="Arial" w:hAnsi="Arial" w:cs="Arial"/>
                <w:color w:val="000000"/>
                <w:sz w:val="22"/>
                <w:szCs w:val="22"/>
              </w:rPr>
            </w:pPr>
          </w:p>
        </w:tc>
      </w:tr>
      <w:tr w:rsidR="006F6573" w:rsidRPr="00FD5B75" w:rsidTr="00502D22">
        <w:tc>
          <w:tcPr>
            <w:tcW w:w="10065" w:type="dxa"/>
            <w:shd w:val="clear" w:color="auto" w:fill="595959"/>
          </w:tcPr>
          <w:p w:rsidR="006F6573" w:rsidRPr="00FD5B75" w:rsidRDefault="006F6573" w:rsidP="00502D22">
            <w:pPr>
              <w:spacing w:after="0" w:line="276" w:lineRule="auto"/>
              <w:rPr>
                <w:rFonts w:ascii="Arial" w:hAnsi="Arial" w:cs="Arial"/>
                <w:b/>
                <w:color w:val="F79646"/>
                <w:sz w:val="22"/>
                <w:szCs w:val="22"/>
              </w:rPr>
            </w:pPr>
            <w:r w:rsidRPr="00FD5B75">
              <w:rPr>
                <w:rFonts w:ascii="Arial" w:hAnsi="Arial" w:cs="Arial"/>
                <w:b/>
                <w:color w:val="F79646"/>
                <w:sz w:val="22"/>
                <w:szCs w:val="22"/>
              </w:rPr>
              <w:t>2.</w:t>
            </w:r>
            <w:r w:rsidRPr="00FD5B75">
              <w:rPr>
                <w:rFonts w:ascii="Arial" w:hAnsi="Arial" w:cs="Arial"/>
                <w:b/>
                <w:color w:val="F79646"/>
                <w:sz w:val="22"/>
                <w:szCs w:val="22"/>
              </w:rPr>
              <w:tab/>
              <w:t>Outcomes</w:t>
            </w:r>
          </w:p>
        </w:tc>
      </w:tr>
      <w:tr w:rsidR="006F6573" w:rsidRPr="00FD5B75" w:rsidTr="00502D22">
        <w:tc>
          <w:tcPr>
            <w:tcW w:w="10065" w:type="dxa"/>
            <w:shd w:val="clear" w:color="auto" w:fill="FFFFFF"/>
          </w:tcPr>
          <w:p w:rsidR="006F6573" w:rsidRPr="00FD5B75" w:rsidRDefault="006F6573" w:rsidP="00502D22">
            <w:pPr>
              <w:spacing w:after="0" w:line="276" w:lineRule="auto"/>
              <w:rPr>
                <w:rFonts w:ascii="Arial" w:hAnsi="Arial" w:cs="Arial"/>
                <w:b/>
                <w:sz w:val="22"/>
                <w:szCs w:val="22"/>
              </w:rPr>
            </w:pPr>
          </w:p>
          <w:p w:rsidR="006F6573" w:rsidRPr="00FD5B75" w:rsidRDefault="006F6573" w:rsidP="00502D22">
            <w:pPr>
              <w:spacing w:after="0" w:line="276" w:lineRule="auto"/>
              <w:rPr>
                <w:rFonts w:ascii="Arial" w:hAnsi="Arial" w:cs="Arial"/>
                <w:b/>
                <w:color w:val="00B050"/>
                <w:sz w:val="22"/>
                <w:szCs w:val="22"/>
              </w:rPr>
            </w:pPr>
            <w:r w:rsidRPr="00FD5B75">
              <w:rPr>
                <w:rFonts w:ascii="Arial" w:hAnsi="Arial" w:cs="Arial"/>
                <w:b/>
                <w:color w:val="00B050"/>
                <w:sz w:val="22"/>
                <w:szCs w:val="22"/>
              </w:rPr>
              <w:t>2.1</w:t>
            </w:r>
            <w:r w:rsidRPr="00FD5B75">
              <w:rPr>
                <w:rFonts w:ascii="Arial" w:hAnsi="Arial" w:cs="Arial"/>
                <w:b/>
                <w:color w:val="00B050"/>
                <w:sz w:val="22"/>
                <w:szCs w:val="22"/>
              </w:rPr>
              <w:tab/>
            </w:r>
            <w:r w:rsidRPr="00FD5B75">
              <w:rPr>
                <w:rFonts w:ascii="Arial" w:hAnsi="Arial" w:cs="Arial"/>
                <w:b/>
                <w:color w:val="00B050"/>
                <w:sz w:val="22"/>
                <w:szCs w:val="22"/>
                <w:u w:val="single"/>
              </w:rPr>
              <w:t>NHS Outcomes Framework Domains &amp; Indicators</w:t>
            </w:r>
          </w:p>
          <w:p w:rsidR="006F6573" w:rsidRPr="00FD5B75" w:rsidRDefault="006F6573" w:rsidP="00502D22">
            <w:pPr>
              <w:tabs>
                <w:tab w:val="left" w:pos="1170"/>
              </w:tabs>
              <w:spacing w:after="0" w:line="276" w:lineRule="auto"/>
              <w:rPr>
                <w:rFonts w:ascii="Arial" w:hAnsi="Arial" w:cs="Arial"/>
                <w:b/>
                <w:color w:val="00B050"/>
                <w:sz w:val="12"/>
                <w:szCs w:val="22"/>
              </w:rPr>
            </w:pPr>
            <w:r>
              <w:rPr>
                <w:rFonts w:ascii="Arial" w:hAnsi="Arial" w:cs="Arial"/>
                <w:b/>
                <w:color w:val="00B050"/>
                <w:sz w:val="22"/>
                <w:szCs w:val="22"/>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8"/>
              <w:gridCol w:w="993"/>
            </w:tblGrid>
            <w:tr w:rsidR="006F6573" w:rsidRPr="00FD5B75" w:rsidTr="00502D22">
              <w:tc>
                <w:tcPr>
                  <w:tcW w:w="1276"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Domain 1</w:t>
                  </w:r>
                </w:p>
              </w:tc>
              <w:tc>
                <w:tcPr>
                  <w:tcW w:w="6378"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Preventing people from dying prematurely</w:t>
                  </w:r>
                </w:p>
              </w:tc>
              <w:tc>
                <w:tcPr>
                  <w:tcW w:w="993"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p>
              </w:tc>
            </w:tr>
            <w:tr w:rsidR="006F6573" w:rsidRPr="00FD5B75" w:rsidTr="00502D22">
              <w:tc>
                <w:tcPr>
                  <w:tcW w:w="1276"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Domain 2</w:t>
                  </w:r>
                </w:p>
              </w:tc>
              <w:tc>
                <w:tcPr>
                  <w:tcW w:w="6378"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Enhancing quality of life for people with long-term conditions</w:t>
                  </w:r>
                </w:p>
              </w:tc>
              <w:tc>
                <w:tcPr>
                  <w:tcW w:w="993"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w:t>
                  </w:r>
                </w:p>
              </w:tc>
            </w:tr>
            <w:tr w:rsidR="006F6573" w:rsidRPr="00FD5B75" w:rsidTr="00502D22">
              <w:tc>
                <w:tcPr>
                  <w:tcW w:w="1276"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Domain 3</w:t>
                  </w:r>
                </w:p>
              </w:tc>
              <w:tc>
                <w:tcPr>
                  <w:tcW w:w="6378"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Helping people to recover from episodes of ill-health or following injury</w:t>
                  </w:r>
                </w:p>
              </w:tc>
              <w:tc>
                <w:tcPr>
                  <w:tcW w:w="993"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p>
              </w:tc>
            </w:tr>
            <w:tr w:rsidR="006F6573" w:rsidRPr="00FD5B75" w:rsidTr="00502D22">
              <w:tc>
                <w:tcPr>
                  <w:tcW w:w="1276"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Domain 4</w:t>
                  </w:r>
                </w:p>
              </w:tc>
              <w:tc>
                <w:tcPr>
                  <w:tcW w:w="6378"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Ensuring people have a positive experience of care</w:t>
                  </w:r>
                </w:p>
              </w:tc>
              <w:tc>
                <w:tcPr>
                  <w:tcW w:w="993"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w:t>
                  </w:r>
                </w:p>
              </w:tc>
            </w:tr>
            <w:tr w:rsidR="006F6573" w:rsidRPr="00FD5B75" w:rsidTr="00502D22">
              <w:tc>
                <w:tcPr>
                  <w:tcW w:w="1276"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Domain 5</w:t>
                  </w:r>
                </w:p>
              </w:tc>
              <w:tc>
                <w:tcPr>
                  <w:tcW w:w="6378"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Treating and caring for people in safe environment and protecting them from avoidable harm</w:t>
                  </w:r>
                </w:p>
              </w:tc>
              <w:tc>
                <w:tcPr>
                  <w:tcW w:w="993" w:type="dxa"/>
                  <w:shd w:val="clear" w:color="auto" w:fill="auto"/>
                </w:tcPr>
                <w:p w:rsidR="006F6573" w:rsidRPr="00FD5B75" w:rsidRDefault="006F6573" w:rsidP="00502D22">
                  <w:pPr>
                    <w:spacing w:after="0" w:line="276" w:lineRule="auto"/>
                    <w:rPr>
                      <w:rFonts w:ascii="Arial" w:eastAsia="Times New Roman" w:hAnsi="Arial" w:cs="Arial"/>
                      <w:b/>
                      <w:color w:val="00B050"/>
                      <w:sz w:val="22"/>
                      <w:szCs w:val="22"/>
                      <w:lang w:eastAsia="en-GB"/>
                    </w:rPr>
                  </w:pPr>
                  <w:r w:rsidRPr="00FD5B75">
                    <w:rPr>
                      <w:rFonts w:ascii="Arial" w:eastAsia="Times New Roman" w:hAnsi="Arial" w:cs="Arial"/>
                      <w:b/>
                      <w:color w:val="00B050"/>
                      <w:sz w:val="22"/>
                      <w:szCs w:val="22"/>
                      <w:lang w:eastAsia="en-GB"/>
                    </w:rPr>
                    <w:t>√</w:t>
                  </w:r>
                </w:p>
              </w:tc>
            </w:tr>
          </w:tbl>
          <w:p w:rsidR="006F6573" w:rsidRDefault="006F6573" w:rsidP="00502D22">
            <w:pPr>
              <w:spacing w:after="0" w:line="276" w:lineRule="auto"/>
              <w:rPr>
                <w:rFonts w:ascii="Arial" w:hAnsi="Arial" w:cs="Arial"/>
                <w:b/>
                <w:color w:val="00B050"/>
                <w:sz w:val="22"/>
                <w:szCs w:val="22"/>
              </w:rPr>
            </w:pPr>
          </w:p>
          <w:p w:rsidR="006F6573" w:rsidRPr="00FD5B75" w:rsidRDefault="006F6573" w:rsidP="00502D22">
            <w:pPr>
              <w:spacing w:after="0" w:line="276" w:lineRule="auto"/>
              <w:rPr>
                <w:rFonts w:ascii="Arial" w:hAnsi="Arial" w:cs="Arial"/>
                <w:b/>
                <w:color w:val="00B050"/>
                <w:sz w:val="22"/>
                <w:szCs w:val="22"/>
              </w:rPr>
            </w:pPr>
            <w:r w:rsidRPr="00FD5B75">
              <w:rPr>
                <w:rFonts w:ascii="Arial" w:hAnsi="Arial" w:cs="Arial"/>
                <w:b/>
                <w:color w:val="00B050"/>
                <w:sz w:val="22"/>
                <w:szCs w:val="22"/>
              </w:rPr>
              <w:t>2.2</w:t>
            </w:r>
            <w:r w:rsidRPr="00FD5B75">
              <w:rPr>
                <w:rFonts w:ascii="Arial" w:hAnsi="Arial" w:cs="Arial"/>
                <w:b/>
                <w:color w:val="00B050"/>
                <w:sz w:val="22"/>
                <w:szCs w:val="22"/>
              </w:rPr>
              <w:tab/>
              <w:t>Local defined outcomes</w:t>
            </w:r>
          </w:p>
          <w:p w:rsidR="006F6573" w:rsidRPr="00057239" w:rsidRDefault="006F6573" w:rsidP="00502D22">
            <w:pPr>
              <w:spacing w:after="0" w:line="276" w:lineRule="auto"/>
              <w:ind w:firstLine="720"/>
              <w:rPr>
                <w:rFonts w:ascii="Arial" w:hAnsi="Arial" w:cs="Arial"/>
                <w:b/>
                <w:color w:val="F79646"/>
                <w:sz w:val="12"/>
                <w:szCs w:val="22"/>
              </w:rPr>
            </w:pPr>
          </w:p>
          <w:p w:rsidR="006F6573" w:rsidRPr="00FD5B75" w:rsidRDefault="006F6573" w:rsidP="00502D22">
            <w:pPr>
              <w:spacing w:after="0" w:line="276" w:lineRule="auto"/>
              <w:rPr>
                <w:rFonts w:ascii="Arial" w:hAnsi="Arial" w:cs="Arial"/>
                <w:sz w:val="22"/>
                <w:szCs w:val="22"/>
              </w:rPr>
            </w:pPr>
            <w:r w:rsidRPr="00FD5B75">
              <w:rPr>
                <w:rFonts w:ascii="Arial" w:hAnsi="Arial" w:cs="Arial"/>
                <w:sz w:val="22"/>
                <w:szCs w:val="22"/>
              </w:rPr>
              <w:lastRenderedPageBreak/>
              <w:t>The key outcomes that the service will deliver are:</w:t>
            </w:r>
          </w:p>
          <w:p w:rsidR="006F6573" w:rsidRPr="00FD5B75" w:rsidRDefault="006F6573" w:rsidP="006F6573">
            <w:pPr>
              <w:pStyle w:val="ListParagraph"/>
              <w:numPr>
                <w:ilvl w:val="0"/>
                <w:numId w:val="3"/>
              </w:numPr>
              <w:jc w:val="both"/>
              <w:rPr>
                <w:rFonts w:ascii="Arial" w:hAnsi="Arial" w:cs="Arial"/>
                <w:sz w:val="22"/>
                <w:szCs w:val="22"/>
              </w:rPr>
            </w:pPr>
            <w:r w:rsidRPr="00FD5B75">
              <w:rPr>
                <w:rFonts w:ascii="Arial" w:hAnsi="Arial" w:cs="Arial"/>
                <w:sz w:val="22"/>
                <w:szCs w:val="22"/>
              </w:rPr>
              <w:t>a safe, convenient and accessible service to patients</w:t>
            </w:r>
          </w:p>
          <w:p w:rsidR="006F6573" w:rsidRPr="00FD5B75" w:rsidRDefault="006F6573" w:rsidP="006F6573">
            <w:pPr>
              <w:numPr>
                <w:ilvl w:val="0"/>
                <w:numId w:val="3"/>
              </w:numPr>
              <w:spacing w:after="0"/>
              <w:jc w:val="both"/>
              <w:rPr>
                <w:rFonts w:ascii="Arial" w:hAnsi="Arial" w:cs="Arial"/>
                <w:sz w:val="22"/>
                <w:szCs w:val="22"/>
              </w:rPr>
            </w:pPr>
            <w:r w:rsidRPr="00FD5B75">
              <w:rPr>
                <w:rFonts w:ascii="Arial" w:hAnsi="Arial" w:cs="Arial"/>
                <w:sz w:val="22"/>
                <w:szCs w:val="22"/>
              </w:rPr>
              <w:t xml:space="preserve">a quality service reflected by excellent results from patient feedback </w:t>
            </w:r>
          </w:p>
          <w:p w:rsidR="006F6573" w:rsidRPr="00FD5B75" w:rsidRDefault="006F6573" w:rsidP="006F6573">
            <w:pPr>
              <w:pStyle w:val="ListParagraph"/>
              <w:numPr>
                <w:ilvl w:val="0"/>
                <w:numId w:val="3"/>
              </w:numPr>
              <w:jc w:val="both"/>
              <w:rPr>
                <w:rFonts w:ascii="Arial" w:hAnsi="Arial" w:cs="Arial"/>
                <w:sz w:val="22"/>
                <w:szCs w:val="22"/>
              </w:rPr>
            </w:pPr>
            <w:r w:rsidRPr="00FD5B75">
              <w:rPr>
                <w:rFonts w:ascii="Arial" w:hAnsi="Arial" w:cs="Arial"/>
                <w:sz w:val="22"/>
                <w:szCs w:val="22"/>
              </w:rPr>
              <w:t>increased choice of Provider and appointment dates/times for patients</w:t>
            </w:r>
          </w:p>
          <w:p w:rsidR="006F6573" w:rsidRDefault="006F6573" w:rsidP="006F6573">
            <w:pPr>
              <w:numPr>
                <w:ilvl w:val="0"/>
                <w:numId w:val="3"/>
              </w:numPr>
              <w:spacing w:after="0"/>
              <w:jc w:val="both"/>
              <w:rPr>
                <w:rFonts w:ascii="Arial" w:hAnsi="Arial" w:cs="Arial"/>
                <w:sz w:val="22"/>
                <w:szCs w:val="22"/>
              </w:rPr>
            </w:pPr>
            <w:r w:rsidRPr="00FD5B75">
              <w:rPr>
                <w:rFonts w:ascii="Arial" w:hAnsi="Arial" w:cs="Arial"/>
                <w:sz w:val="22"/>
                <w:szCs w:val="22"/>
              </w:rPr>
              <w:t>a reduction in secondary care activity for glaucoma outpatient follow-up appointments</w:t>
            </w:r>
          </w:p>
          <w:p w:rsidR="006F6573" w:rsidRPr="00FD5B75" w:rsidRDefault="006F6573" w:rsidP="00502D22">
            <w:pPr>
              <w:spacing w:after="0"/>
              <w:jc w:val="both"/>
              <w:rPr>
                <w:rFonts w:ascii="Arial" w:hAnsi="Arial" w:cs="Arial"/>
                <w:sz w:val="22"/>
                <w:szCs w:val="22"/>
              </w:rPr>
            </w:pPr>
          </w:p>
        </w:tc>
      </w:tr>
      <w:tr w:rsidR="006F6573" w:rsidRPr="00FD5B75" w:rsidTr="00502D22">
        <w:tc>
          <w:tcPr>
            <w:tcW w:w="10065" w:type="dxa"/>
            <w:shd w:val="clear" w:color="auto" w:fill="595959"/>
          </w:tcPr>
          <w:p w:rsidR="006F6573" w:rsidRPr="00FD5B75" w:rsidRDefault="006F6573" w:rsidP="00502D22">
            <w:pPr>
              <w:spacing w:after="0" w:line="276" w:lineRule="auto"/>
              <w:rPr>
                <w:rFonts w:ascii="Arial" w:hAnsi="Arial" w:cs="Arial"/>
                <w:b/>
                <w:color w:val="F79646"/>
                <w:sz w:val="22"/>
                <w:szCs w:val="22"/>
              </w:rPr>
            </w:pPr>
            <w:r w:rsidRPr="00FD5B75">
              <w:rPr>
                <w:rFonts w:ascii="Arial" w:hAnsi="Arial" w:cs="Arial"/>
                <w:b/>
                <w:color w:val="F79646"/>
                <w:sz w:val="22"/>
                <w:szCs w:val="22"/>
              </w:rPr>
              <w:lastRenderedPageBreak/>
              <w:t>3.</w:t>
            </w:r>
            <w:r w:rsidRPr="00FD5B75">
              <w:rPr>
                <w:rFonts w:ascii="Arial" w:hAnsi="Arial" w:cs="Arial"/>
                <w:b/>
                <w:color w:val="F79646"/>
                <w:sz w:val="22"/>
                <w:szCs w:val="22"/>
              </w:rPr>
              <w:tab/>
              <w:t>Scope</w:t>
            </w:r>
          </w:p>
        </w:tc>
      </w:tr>
      <w:tr w:rsidR="006F6573" w:rsidRPr="00FD5B75" w:rsidTr="00502D22">
        <w:tc>
          <w:tcPr>
            <w:tcW w:w="10065" w:type="dxa"/>
            <w:shd w:val="clear" w:color="auto" w:fill="auto"/>
          </w:tcPr>
          <w:p w:rsidR="006F6573" w:rsidRDefault="006F6573" w:rsidP="00502D22">
            <w:pPr>
              <w:spacing w:after="0"/>
              <w:rPr>
                <w:rFonts w:ascii="Arial" w:hAnsi="Arial" w:cs="Arial"/>
                <w:b/>
                <w:color w:val="009966"/>
                <w:sz w:val="22"/>
                <w:szCs w:val="22"/>
              </w:rPr>
            </w:pPr>
          </w:p>
          <w:p w:rsidR="006F6573" w:rsidRPr="00FD5B75" w:rsidRDefault="006F6573" w:rsidP="00502D22">
            <w:pPr>
              <w:spacing w:after="0"/>
              <w:rPr>
                <w:rFonts w:ascii="Arial" w:hAnsi="Arial" w:cs="Arial"/>
                <w:b/>
                <w:color w:val="009966"/>
                <w:sz w:val="22"/>
                <w:szCs w:val="22"/>
              </w:rPr>
            </w:pPr>
            <w:r w:rsidRPr="00FD5B75">
              <w:rPr>
                <w:rFonts w:ascii="Arial" w:hAnsi="Arial" w:cs="Arial"/>
                <w:b/>
                <w:color w:val="009966"/>
                <w:sz w:val="22"/>
                <w:szCs w:val="22"/>
              </w:rPr>
              <w:t>3.1</w:t>
            </w:r>
            <w:r w:rsidRPr="00FD5B75">
              <w:rPr>
                <w:rFonts w:ascii="Arial" w:hAnsi="Arial" w:cs="Arial"/>
                <w:b/>
                <w:color w:val="009966"/>
                <w:sz w:val="22"/>
                <w:szCs w:val="22"/>
              </w:rPr>
              <w:tab/>
              <w:t>Aims and objectives of service</w:t>
            </w:r>
          </w:p>
          <w:p w:rsidR="006F6573" w:rsidRPr="00FD5B75" w:rsidRDefault="006F6573" w:rsidP="00502D22">
            <w:pPr>
              <w:spacing w:after="0"/>
              <w:rPr>
                <w:rFonts w:ascii="Arial" w:hAnsi="Arial" w:cs="Arial"/>
                <w:color w:val="009966"/>
                <w:sz w:val="14"/>
                <w:szCs w:val="22"/>
              </w:rPr>
            </w:pPr>
          </w:p>
          <w:p w:rsidR="006F6573" w:rsidRPr="00FD5B75" w:rsidRDefault="006F6573" w:rsidP="00502D22">
            <w:pPr>
              <w:spacing w:after="0"/>
              <w:jc w:val="both"/>
              <w:rPr>
                <w:rFonts w:ascii="Arial" w:hAnsi="Arial" w:cs="Arial"/>
                <w:color w:val="000000"/>
                <w:sz w:val="22"/>
                <w:szCs w:val="22"/>
              </w:rPr>
            </w:pPr>
            <w:r w:rsidRPr="00FD5B75">
              <w:rPr>
                <w:rFonts w:ascii="Arial" w:hAnsi="Arial" w:cs="Arial"/>
                <w:color w:val="000000"/>
                <w:sz w:val="22"/>
                <w:szCs w:val="22"/>
              </w:rPr>
              <w:t xml:space="preserve">The service aims to help improve eye care and reduce inequalities by providing increased access to eye care in the community and offering patient choice.  The service will </w:t>
            </w:r>
            <w:r w:rsidRPr="00FD5B75">
              <w:rPr>
                <w:rFonts w:ascii="Arial" w:hAnsi="Arial" w:cs="Arial"/>
                <w:sz w:val="22"/>
                <w:szCs w:val="22"/>
              </w:rPr>
              <w:t xml:space="preserve">support the ‘Care Closer to Home’ strategy by </w:t>
            </w:r>
            <w:r w:rsidRPr="00FD5B75">
              <w:rPr>
                <w:rFonts w:ascii="Arial" w:hAnsi="Arial" w:cs="Arial"/>
                <w:color w:val="000000"/>
                <w:sz w:val="22"/>
                <w:szCs w:val="22"/>
              </w:rPr>
              <w:t>utilising the skills and knowledge of primary care optometrists enabling a convenient and accessible service for patients and ensuring patients are seen by the most appropriate healthcare professional in the most suitable setting.</w:t>
            </w:r>
          </w:p>
          <w:p w:rsidR="006F6573" w:rsidRPr="00FD5B75" w:rsidRDefault="006F6573" w:rsidP="00502D22">
            <w:pPr>
              <w:spacing w:after="0"/>
              <w:jc w:val="both"/>
              <w:rPr>
                <w:rFonts w:ascii="Arial" w:hAnsi="Arial" w:cs="Arial"/>
                <w:color w:val="000000"/>
                <w:sz w:val="22"/>
                <w:szCs w:val="22"/>
              </w:rPr>
            </w:pPr>
          </w:p>
          <w:p w:rsidR="006F6573" w:rsidRPr="00FD5B75" w:rsidRDefault="006F6573" w:rsidP="00502D22">
            <w:pPr>
              <w:spacing w:after="0"/>
              <w:jc w:val="both"/>
              <w:rPr>
                <w:rFonts w:ascii="Arial" w:hAnsi="Arial" w:cs="Arial"/>
                <w:color w:val="000000"/>
                <w:sz w:val="22"/>
                <w:szCs w:val="22"/>
              </w:rPr>
            </w:pPr>
            <w:r w:rsidRPr="00FD5B75">
              <w:rPr>
                <w:rFonts w:ascii="Arial" w:hAnsi="Arial" w:cs="Arial"/>
                <w:color w:val="000000"/>
                <w:sz w:val="22"/>
                <w:szCs w:val="22"/>
              </w:rPr>
              <w:t>It is expected that the service will reduce the number of visits to the hospital eye service or Adult Community Ophthalmology Service (ACOS) and reduce the likely waiting time for patients who will be able to access care in the local community.</w:t>
            </w:r>
          </w:p>
          <w:p w:rsidR="006F6573" w:rsidRPr="00FD5B75" w:rsidRDefault="006F6573" w:rsidP="00502D22">
            <w:pPr>
              <w:spacing w:after="0"/>
              <w:rPr>
                <w:rFonts w:ascii="Arial" w:hAnsi="Arial" w:cs="Arial"/>
                <w:color w:val="009966"/>
                <w:sz w:val="22"/>
                <w:szCs w:val="22"/>
              </w:rPr>
            </w:pPr>
          </w:p>
          <w:p w:rsidR="006F6573" w:rsidRPr="00FD5B75" w:rsidRDefault="006F6573" w:rsidP="00502D22">
            <w:pPr>
              <w:spacing w:after="0"/>
              <w:rPr>
                <w:rFonts w:ascii="Arial" w:hAnsi="Arial" w:cs="Arial"/>
                <w:b/>
                <w:color w:val="009966"/>
                <w:sz w:val="22"/>
                <w:szCs w:val="22"/>
              </w:rPr>
            </w:pPr>
            <w:r w:rsidRPr="00FD5B75">
              <w:rPr>
                <w:rFonts w:ascii="Arial" w:hAnsi="Arial" w:cs="Arial"/>
                <w:b/>
                <w:color w:val="009966"/>
                <w:sz w:val="22"/>
                <w:szCs w:val="22"/>
              </w:rPr>
              <w:t>3.2</w:t>
            </w:r>
            <w:r w:rsidRPr="00FD5B75">
              <w:rPr>
                <w:rFonts w:ascii="Arial" w:hAnsi="Arial" w:cs="Arial"/>
                <w:b/>
                <w:color w:val="009966"/>
                <w:sz w:val="22"/>
                <w:szCs w:val="22"/>
              </w:rPr>
              <w:tab/>
              <w:t>Service description/care pathway</w:t>
            </w:r>
          </w:p>
          <w:p w:rsidR="006F6573" w:rsidRPr="00FD5B75" w:rsidRDefault="006F6573" w:rsidP="00502D22">
            <w:pPr>
              <w:spacing w:after="0"/>
              <w:rPr>
                <w:rFonts w:ascii="Arial" w:hAnsi="Arial" w:cs="Arial"/>
                <w:color w:val="009966"/>
                <w:sz w:val="22"/>
                <w:szCs w:val="22"/>
              </w:rPr>
            </w:pPr>
          </w:p>
          <w:p w:rsidR="006F6573" w:rsidRPr="00FD5B75" w:rsidRDefault="006F6573" w:rsidP="00502D22">
            <w:pPr>
              <w:spacing w:after="0"/>
              <w:rPr>
                <w:rFonts w:ascii="Arial" w:hAnsi="Arial" w:cs="Arial"/>
                <w:b/>
                <w:color w:val="000000"/>
                <w:sz w:val="22"/>
                <w:szCs w:val="22"/>
              </w:rPr>
            </w:pPr>
            <w:r w:rsidRPr="00FD5B75">
              <w:rPr>
                <w:rFonts w:ascii="Arial" w:hAnsi="Arial" w:cs="Arial"/>
                <w:b/>
                <w:color w:val="000000"/>
                <w:sz w:val="22"/>
                <w:szCs w:val="22"/>
              </w:rPr>
              <w:t>Outline of Stable Glaucoma service</w:t>
            </w:r>
          </w:p>
          <w:p w:rsidR="006F6573" w:rsidRPr="00FD5B75" w:rsidRDefault="006F6573" w:rsidP="00502D22">
            <w:pPr>
              <w:spacing w:after="0"/>
              <w:rPr>
                <w:rFonts w:ascii="Arial" w:hAnsi="Arial" w:cs="Arial"/>
                <w:b/>
                <w:color w:val="000000"/>
                <w:sz w:val="22"/>
                <w:szCs w:val="22"/>
              </w:rPr>
            </w:pPr>
          </w:p>
          <w:p w:rsidR="006F6573" w:rsidRPr="00FD5B75" w:rsidRDefault="006F6573" w:rsidP="00502D22">
            <w:pPr>
              <w:pStyle w:val="ListParagraph"/>
              <w:ind w:left="0"/>
              <w:jc w:val="both"/>
              <w:rPr>
                <w:rFonts w:ascii="Arial" w:hAnsi="Arial" w:cs="Arial"/>
                <w:bCs/>
                <w:sz w:val="22"/>
                <w:szCs w:val="22"/>
              </w:rPr>
            </w:pPr>
            <w:r w:rsidRPr="00FD5B75">
              <w:rPr>
                <w:rFonts w:ascii="Arial" w:hAnsi="Arial" w:cs="Arial"/>
                <w:bCs/>
                <w:sz w:val="22"/>
                <w:szCs w:val="22"/>
              </w:rPr>
              <w:t>The service is for patients with established and stable glaucoma or Ocular Hypertension (OHT) who require monitoring at programmed intervals.</w:t>
            </w:r>
          </w:p>
          <w:p w:rsidR="006F6573" w:rsidRPr="00FD5B75" w:rsidRDefault="006F6573" w:rsidP="00502D22">
            <w:pPr>
              <w:spacing w:after="0"/>
              <w:jc w:val="both"/>
              <w:rPr>
                <w:rFonts w:ascii="Arial" w:hAnsi="Arial" w:cs="Arial"/>
                <w:color w:val="000000"/>
                <w:sz w:val="22"/>
                <w:szCs w:val="22"/>
              </w:rPr>
            </w:pPr>
          </w:p>
          <w:p w:rsidR="006F6573" w:rsidRPr="00FD5B75" w:rsidRDefault="006F6573" w:rsidP="00502D22">
            <w:pPr>
              <w:autoSpaceDE w:val="0"/>
              <w:autoSpaceDN w:val="0"/>
              <w:adjustRightInd w:val="0"/>
              <w:jc w:val="both"/>
              <w:rPr>
                <w:rFonts w:ascii="Arial" w:hAnsi="Arial" w:cs="Arial"/>
                <w:sz w:val="22"/>
                <w:szCs w:val="22"/>
              </w:rPr>
            </w:pPr>
            <w:r w:rsidRPr="00FD5B75">
              <w:rPr>
                <w:rFonts w:ascii="Arial" w:hAnsi="Arial" w:cs="Arial"/>
                <w:sz w:val="22"/>
                <w:szCs w:val="22"/>
              </w:rPr>
              <w:t>A description of suitable patients is:</w:t>
            </w:r>
          </w:p>
          <w:p w:rsidR="006F6573" w:rsidRPr="00FD5B75" w:rsidRDefault="006F6573" w:rsidP="006F6573">
            <w:pPr>
              <w:numPr>
                <w:ilvl w:val="0"/>
                <w:numId w:val="4"/>
              </w:numPr>
              <w:autoSpaceDE w:val="0"/>
              <w:autoSpaceDN w:val="0"/>
              <w:adjustRightInd w:val="0"/>
              <w:spacing w:after="0"/>
              <w:jc w:val="both"/>
              <w:rPr>
                <w:rFonts w:ascii="Arial" w:hAnsi="Arial" w:cs="Arial"/>
                <w:sz w:val="22"/>
                <w:szCs w:val="22"/>
              </w:rPr>
            </w:pPr>
            <w:r w:rsidRPr="00FD5B75">
              <w:rPr>
                <w:rFonts w:ascii="Arial" w:hAnsi="Arial" w:cs="Arial"/>
                <w:sz w:val="22"/>
                <w:szCs w:val="22"/>
              </w:rPr>
              <w:t>No change in the management of the patients glaucoma No recent substantive new symptoms for two years which could be attributable to progressive visual deterioration, such as a drop in acuity or subjective change of a paracentral visual field defect</w:t>
            </w:r>
          </w:p>
          <w:p w:rsidR="006F6573" w:rsidRPr="00FD5B75" w:rsidRDefault="006F6573" w:rsidP="006F6573">
            <w:pPr>
              <w:numPr>
                <w:ilvl w:val="0"/>
                <w:numId w:val="4"/>
              </w:numPr>
              <w:autoSpaceDE w:val="0"/>
              <w:autoSpaceDN w:val="0"/>
              <w:adjustRightInd w:val="0"/>
              <w:spacing w:after="0"/>
              <w:jc w:val="both"/>
              <w:rPr>
                <w:rFonts w:ascii="Arial" w:hAnsi="Arial" w:cs="Arial"/>
                <w:sz w:val="22"/>
                <w:szCs w:val="22"/>
              </w:rPr>
            </w:pPr>
            <w:r w:rsidRPr="00FD5B75">
              <w:rPr>
                <w:rFonts w:ascii="Arial" w:hAnsi="Arial" w:cs="Arial"/>
                <w:sz w:val="22"/>
                <w:szCs w:val="22"/>
              </w:rPr>
              <w:t>An intraocular pressure remaining below a level satisfactory for the individual patient No change in the optic disc appearance or a documented normal optic disc. This should preferably be based on good quality optic disc photography undertaken in the HES at baseline</w:t>
            </w:r>
          </w:p>
          <w:p w:rsidR="006F6573" w:rsidRPr="00FD5B75" w:rsidRDefault="006F6573" w:rsidP="006F6573">
            <w:pPr>
              <w:numPr>
                <w:ilvl w:val="0"/>
                <w:numId w:val="4"/>
              </w:numPr>
              <w:autoSpaceDE w:val="0"/>
              <w:autoSpaceDN w:val="0"/>
              <w:adjustRightInd w:val="0"/>
              <w:spacing w:after="0"/>
              <w:jc w:val="both"/>
              <w:rPr>
                <w:rFonts w:ascii="Arial" w:hAnsi="Arial" w:cs="Arial"/>
                <w:sz w:val="22"/>
                <w:szCs w:val="22"/>
              </w:rPr>
            </w:pPr>
            <w:r w:rsidRPr="00FD5B75">
              <w:rPr>
                <w:rFonts w:ascii="Arial" w:hAnsi="Arial" w:cs="Arial"/>
                <w:sz w:val="22"/>
                <w:szCs w:val="22"/>
              </w:rPr>
              <w:t>No significant change in visual field over two years</w:t>
            </w:r>
          </w:p>
          <w:p w:rsidR="006F6573" w:rsidRPr="00FD5B75" w:rsidRDefault="006F6573" w:rsidP="00502D22">
            <w:pPr>
              <w:spacing w:after="0"/>
              <w:jc w:val="both"/>
              <w:rPr>
                <w:rFonts w:ascii="Arial" w:hAnsi="Arial" w:cs="Arial"/>
                <w:color w:val="000000"/>
                <w:sz w:val="22"/>
                <w:szCs w:val="22"/>
              </w:rPr>
            </w:pPr>
          </w:p>
          <w:p w:rsidR="006F6573" w:rsidRPr="00FD5B75" w:rsidRDefault="006F6573" w:rsidP="00502D22">
            <w:pPr>
              <w:spacing w:after="0"/>
              <w:jc w:val="both"/>
              <w:rPr>
                <w:rFonts w:ascii="Arial" w:hAnsi="Arial" w:cs="Arial"/>
                <w:color w:val="000000"/>
                <w:sz w:val="22"/>
                <w:szCs w:val="22"/>
              </w:rPr>
            </w:pPr>
            <w:r w:rsidRPr="00FD5B75">
              <w:rPr>
                <w:rFonts w:ascii="Arial" w:hAnsi="Arial" w:cs="Arial"/>
                <w:color w:val="000000"/>
                <w:sz w:val="22"/>
                <w:szCs w:val="22"/>
              </w:rPr>
              <w:t xml:space="preserve">A Consultant Ophthalmologist will determine whether the patient is stable and, having determined the appropriate timeframe and interval, refer to competent community optometrists where appropriate.  </w:t>
            </w:r>
          </w:p>
          <w:p w:rsidR="006F6573" w:rsidRPr="00FD5B75" w:rsidRDefault="006F6573" w:rsidP="00502D22">
            <w:pPr>
              <w:spacing w:after="0"/>
              <w:jc w:val="both"/>
              <w:rPr>
                <w:rFonts w:ascii="Arial" w:hAnsi="Arial" w:cs="Arial"/>
                <w:color w:val="000000"/>
                <w:sz w:val="22"/>
                <w:szCs w:val="22"/>
              </w:rPr>
            </w:pPr>
          </w:p>
          <w:p w:rsidR="006F6573" w:rsidRPr="00FD5B75" w:rsidRDefault="006F6573" w:rsidP="00502D22">
            <w:pPr>
              <w:jc w:val="both"/>
              <w:rPr>
                <w:rFonts w:ascii="Arial" w:hAnsi="Arial" w:cs="Arial"/>
                <w:sz w:val="22"/>
                <w:szCs w:val="22"/>
              </w:rPr>
            </w:pPr>
            <w:r w:rsidRPr="00FD5B75">
              <w:rPr>
                <w:rFonts w:ascii="Arial" w:hAnsi="Arial" w:cs="Arial"/>
                <w:sz w:val="22"/>
                <w:szCs w:val="22"/>
              </w:rPr>
              <w:t xml:space="preserve">When a patient is deemed suitable by a Secondary Care Clinician or ACOS for a community follow-up they will inform the patients of all available community monitoring Optometrists and make the necessary arrangements for their care to be transferred. It is the patient’s right to choose which approved community Optometrist they want to provide their ongoing management. </w:t>
            </w:r>
          </w:p>
          <w:p w:rsidR="006F6573" w:rsidRPr="00FD5B75" w:rsidRDefault="006F6573" w:rsidP="00502D22">
            <w:pPr>
              <w:jc w:val="both"/>
              <w:rPr>
                <w:rFonts w:ascii="Arial" w:hAnsi="Arial" w:cs="Arial"/>
                <w:sz w:val="22"/>
                <w:szCs w:val="22"/>
              </w:rPr>
            </w:pPr>
            <w:r w:rsidRPr="00FD5B75">
              <w:rPr>
                <w:rFonts w:ascii="Arial" w:hAnsi="Arial" w:cs="Arial"/>
                <w:sz w:val="22"/>
                <w:szCs w:val="22"/>
              </w:rPr>
              <w:t xml:space="preserve">A discharge summary/care plan will be sent to the patients chosen Optometrist who will then contact the patient as clinically appropriate. The patient will be offered a choice of monitoring appointments in line with their recommended management plan and clinical/ocular status. </w:t>
            </w:r>
          </w:p>
          <w:p w:rsidR="006F6573" w:rsidRPr="00FD5B75" w:rsidRDefault="006F6573" w:rsidP="00502D22">
            <w:pPr>
              <w:jc w:val="both"/>
              <w:rPr>
                <w:rFonts w:ascii="Arial" w:hAnsi="Arial" w:cs="Arial"/>
                <w:sz w:val="22"/>
                <w:szCs w:val="22"/>
              </w:rPr>
            </w:pPr>
            <w:r w:rsidRPr="00FD5B75">
              <w:rPr>
                <w:rFonts w:ascii="Arial" w:hAnsi="Arial" w:cs="Arial"/>
                <w:sz w:val="22"/>
                <w:szCs w:val="22"/>
              </w:rPr>
              <w:t xml:space="preserve">The pathway/service would provide for these stable patients to be under the care of a community Optometrist for a period determined by the consultant on an individual basis.  </w:t>
            </w:r>
            <w:bookmarkStart w:id="0" w:name="Text19"/>
            <w:r w:rsidRPr="00FD5B75">
              <w:rPr>
                <w:rFonts w:ascii="Arial" w:hAnsi="Arial" w:cs="Arial"/>
                <w:sz w:val="22"/>
                <w:szCs w:val="22"/>
              </w:rPr>
              <w:t xml:space="preserve">Where this is not stated, the default position of 3 years will apply.  The consultant will also agree with the optometrist the intervals at which a review should be undertaken during this time.  In line with NICE Clinical guidelines </w:t>
            </w:r>
            <w:r w:rsidRPr="00FD5B75">
              <w:rPr>
                <w:rFonts w:ascii="Arial" w:hAnsi="Arial" w:cs="Arial"/>
                <w:sz w:val="22"/>
                <w:szCs w:val="22"/>
              </w:rPr>
              <w:lastRenderedPageBreak/>
              <w:t>85, Apr 2009 pp. 16-17, and in order to capture any optical changes at each monitoring episode the patient would expect at each monitoring assessment:</w:t>
            </w:r>
          </w:p>
          <w:p w:rsidR="006F6573" w:rsidRPr="00057239" w:rsidRDefault="006F6573" w:rsidP="006F6573">
            <w:pPr>
              <w:pStyle w:val="NoSpacing"/>
              <w:numPr>
                <w:ilvl w:val="0"/>
                <w:numId w:val="11"/>
              </w:numPr>
              <w:rPr>
                <w:rFonts w:ascii="Arial" w:hAnsi="Arial" w:cs="Arial"/>
                <w:sz w:val="22"/>
                <w:szCs w:val="22"/>
              </w:rPr>
            </w:pPr>
            <w:r w:rsidRPr="00057239">
              <w:rPr>
                <w:rFonts w:ascii="Arial" w:hAnsi="Arial" w:cs="Arial"/>
                <w:sz w:val="22"/>
                <w:szCs w:val="22"/>
              </w:rPr>
              <w:t>Slit Lamp Mounted Goldmann type applanation tonome</w:t>
            </w:r>
            <w:bookmarkEnd w:id="0"/>
            <w:r w:rsidRPr="00057239">
              <w:rPr>
                <w:rFonts w:ascii="Arial" w:hAnsi="Arial" w:cs="Arial"/>
                <w:sz w:val="22"/>
                <w:szCs w:val="22"/>
              </w:rPr>
              <w:t>try</w:t>
            </w:r>
          </w:p>
          <w:p w:rsidR="006F6573" w:rsidRPr="00057239" w:rsidRDefault="006F6573" w:rsidP="006F6573">
            <w:pPr>
              <w:pStyle w:val="NoSpacing"/>
              <w:numPr>
                <w:ilvl w:val="0"/>
                <w:numId w:val="11"/>
              </w:numPr>
              <w:rPr>
                <w:rFonts w:ascii="Arial" w:hAnsi="Arial" w:cs="Arial"/>
                <w:sz w:val="22"/>
                <w:szCs w:val="22"/>
              </w:rPr>
            </w:pPr>
            <w:r w:rsidRPr="00057239">
              <w:rPr>
                <w:rFonts w:ascii="Arial" w:hAnsi="Arial" w:cs="Arial"/>
                <w:sz w:val="22"/>
                <w:szCs w:val="22"/>
              </w:rPr>
              <w:t xml:space="preserve">Van Herrick’s peripheral anterior chamber depth assessment. </w:t>
            </w:r>
          </w:p>
          <w:p w:rsidR="006F6573" w:rsidRPr="00057239" w:rsidRDefault="006F6573" w:rsidP="006F6573">
            <w:pPr>
              <w:pStyle w:val="NoSpacing"/>
              <w:numPr>
                <w:ilvl w:val="0"/>
                <w:numId w:val="11"/>
              </w:numPr>
              <w:rPr>
                <w:rFonts w:ascii="Arial" w:hAnsi="Arial" w:cs="Arial"/>
                <w:sz w:val="22"/>
                <w:szCs w:val="22"/>
              </w:rPr>
            </w:pPr>
            <w:r w:rsidRPr="00057239">
              <w:rPr>
                <w:rFonts w:ascii="Arial" w:hAnsi="Arial" w:cs="Arial"/>
                <w:sz w:val="22"/>
                <w:szCs w:val="22"/>
              </w:rPr>
              <w:t xml:space="preserve">Automated perimetry (central thresholding test) </w:t>
            </w:r>
          </w:p>
          <w:p w:rsidR="006F6573" w:rsidRPr="00057239" w:rsidRDefault="006F6573" w:rsidP="006F6573">
            <w:pPr>
              <w:pStyle w:val="NoSpacing"/>
              <w:numPr>
                <w:ilvl w:val="0"/>
                <w:numId w:val="11"/>
              </w:numPr>
              <w:rPr>
                <w:rFonts w:ascii="Arial" w:hAnsi="Arial" w:cs="Arial"/>
                <w:sz w:val="22"/>
                <w:szCs w:val="22"/>
              </w:rPr>
            </w:pPr>
            <w:r w:rsidRPr="00057239">
              <w:rPr>
                <w:rFonts w:ascii="Arial" w:hAnsi="Arial" w:cs="Arial"/>
                <w:sz w:val="22"/>
                <w:szCs w:val="22"/>
              </w:rPr>
              <w:t>Where a defect has previously been detected use the same visual field measurement strategy for each visual field test.</w:t>
            </w:r>
          </w:p>
          <w:p w:rsidR="006F6573" w:rsidRDefault="006F6573" w:rsidP="006F6573">
            <w:pPr>
              <w:pStyle w:val="NoSpacing"/>
              <w:numPr>
                <w:ilvl w:val="0"/>
                <w:numId w:val="11"/>
              </w:numPr>
              <w:rPr>
                <w:rFonts w:ascii="Arial" w:hAnsi="Arial" w:cs="Arial"/>
                <w:sz w:val="22"/>
                <w:szCs w:val="22"/>
              </w:rPr>
            </w:pPr>
            <w:r w:rsidRPr="00057239">
              <w:rPr>
                <w:rFonts w:ascii="Arial" w:hAnsi="Arial" w:cs="Arial"/>
                <w:sz w:val="22"/>
                <w:szCs w:val="22"/>
              </w:rPr>
              <w:t xml:space="preserve">Stereoscopic slit lamp biomicroscopic examination of the optic nerve head using Indirect BIO Lens. </w:t>
            </w:r>
          </w:p>
          <w:p w:rsidR="006F6573" w:rsidRPr="00057239" w:rsidRDefault="006F6573" w:rsidP="00502D22">
            <w:pPr>
              <w:pStyle w:val="NoSpacing"/>
              <w:rPr>
                <w:rFonts w:ascii="Arial" w:hAnsi="Arial" w:cs="Arial"/>
                <w:sz w:val="22"/>
                <w:szCs w:val="22"/>
              </w:rPr>
            </w:pPr>
          </w:p>
          <w:p w:rsidR="006F6573" w:rsidRPr="00FD5B75" w:rsidRDefault="006F6573" w:rsidP="00502D22">
            <w:pPr>
              <w:jc w:val="both"/>
              <w:rPr>
                <w:rFonts w:ascii="Arial" w:hAnsi="Arial" w:cs="Arial"/>
                <w:sz w:val="22"/>
                <w:szCs w:val="22"/>
              </w:rPr>
            </w:pPr>
            <w:r w:rsidRPr="00FD5B75">
              <w:rPr>
                <w:rFonts w:ascii="Arial" w:hAnsi="Arial" w:cs="Arial"/>
                <w:sz w:val="22"/>
                <w:szCs w:val="22"/>
              </w:rPr>
              <w:t xml:space="preserve">Patients will remain in the care of an Optometrist for the agreed period, at which point the patient will then be referred back to secondary care/ACOS for a full assessment (where this is not stated, the default position of 3 years will apply). However where appropriate patients will be referred back into secondary care sooner than this where there is a change in clinical status and if ocular parameters regarding the glaucoma control are breached in accordance with the clinical management plan.  If a patient does become unstable and requires a referral back to secondary Care, the accredited Optometrist will collate all community clinical findings, full demographic details and ensure the patient understands they have a choice of secondary care provider that they can be referred back to. </w:t>
            </w:r>
          </w:p>
          <w:p w:rsidR="006F6573" w:rsidRPr="00FD5B75" w:rsidRDefault="006F6573" w:rsidP="00502D22">
            <w:pPr>
              <w:jc w:val="both"/>
              <w:rPr>
                <w:rFonts w:ascii="Arial" w:hAnsi="Arial" w:cs="Arial"/>
                <w:b/>
                <w:sz w:val="22"/>
                <w:szCs w:val="22"/>
              </w:rPr>
            </w:pPr>
            <w:r w:rsidRPr="00FD5B75">
              <w:rPr>
                <w:rFonts w:ascii="Arial" w:hAnsi="Arial" w:cs="Arial"/>
                <w:b/>
                <w:sz w:val="22"/>
                <w:szCs w:val="22"/>
              </w:rPr>
              <w:t>Accreditation</w:t>
            </w:r>
          </w:p>
          <w:p w:rsidR="006F6573" w:rsidRPr="00FD5B75" w:rsidRDefault="006F6573" w:rsidP="00502D22">
            <w:pPr>
              <w:jc w:val="both"/>
              <w:rPr>
                <w:rFonts w:ascii="Arial" w:hAnsi="Arial" w:cs="Arial"/>
                <w:sz w:val="22"/>
                <w:szCs w:val="22"/>
              </w:rPr>
            </w:pPr>
            <w:r w:rsidRPr="00FD5B75">
              <w:rPr>
                <w:rFonts w:ascii="Arial" w:hAnsi="Arial" w:cs="Arial"/>
                <w:sz w:val="22"/>
                <w:szCs w:val="22"/>
              </w:rPr>
              <w:t>The contractor will ensure all performers providing the service will:</w:t>
            </w:r>
          </w:p>
          <w:p w:rsidR="006F6573" w:rsidRPr="00057239" w:rsidRDefault="006F6573" w:rsidP="006F6573">
            <w:pPr>
              <w:pStyle w:val="NoSpacing"/>
              <w:numPr>
                <w:ilvl w:val="0"/>
                <w:numId w:val="9"/>
              </w:numPr>
              <w:rPr>
                <w:rFonts w:ascii="Arial" w:hAnsi="Arial" w:cs="Arial"/>
                <w:sz w:val="22"/>
                <w:szCs w:val="22"/>
              </w:rPr>
            </w:pPr>
            <w:r w:rsidRPr="00057239">
              <w:rPr>
                <w:rFonts w:ascii="Arial" w:hAnsi="Arial" w:cs="Arial"/>
                <w:sz w:val="22"/>
                <w:szCs w:val="22"/>
              </w:rPr>
              <w:t xml:space="preserve">attend any relevant training workshops regarding methods/protocols as requested by the CCG. </w:t>
            </w:r>
          </w:p>
          <w:p w:rsidR="006F6573" w:rsidRPr="00057239" w:rsidRDefault="006F6573" w:rsidP="006F6573">
            <w:pPr>
              <w:pStyle w:val="NoSpacing"/>
              <w:numPr>
                <w:ilvl w:val="0"/>
                <w:numId w:val="9"/>
              </w:numPr>
              <w:rPr>
                <w:rFonts w:ascii="Arial" w:hAnsi="Arial" w:cs="Arial"/>
                <w:sz w:val="22"/>
                <w:szCs w:val="22"/>
              </w:rPr>
            </w:pPr>
            <w:r w:rsidRPr="00057239">
              <w:rPr>
                <w:rFonts w:ascii="Arial" w:hAnsi="Arial" w:cs="Arial"/>
                <w:sz w:val="22"/>
                <w:szCs w:val="22"/>
              </w:rPr>
              <w:t>have 3 year’s relevant experience</w:t>
            </w:r>
          </w:p>
          <w:p w:rsidR="006F6573" w:rsidRPr="00057239" w:rsidRDefault="006F6573" w:rsidP="006F6573">
            <w:pPr>
              <w:pStyle w:val="NoSpacing"/>
              <w:numPr>
                <w:ilvl w:val="0"/>
                <w:numId w:val="9"/>
              </w:numPr>
              <w:rPr>
                <w:rFonts w:ascii="Arial" w:hAnsi="Arial" w:cs="Arial"/>
                <w:sz w:val="22"/>
                <w:szCs w:val="22"/>
              </w:rPr>
            </w:pPr>
            <w:r w:rsidRPr="00057239">
              <w:rPr>
                <w:rFonts w:ascii="Arial" w:hAnsi="Arial" w:cs="Arial"/>
                <w:sz w:val="22"/>
                <w:szCs w:val="22"/>
              </w:rPr>
              <w:t>have ability to detect change on clinical status</w:t>
            </w:r>
          </w:p>
          <w:p w:rsidR="006F6573" w:rsidRPr="00057239" w:rsidRDefault="006F6573" w:rsidP="006F6573">
            <w:pPr>
              <w:pStyle w:val="NoSpacing"/>
              <w:numPr>
                <w:ilvl w:val="0"/>
                <w:numId w:val="9"/>
              </w:numPr>
              <w:rPr>
                <w:rFonts w:ascii="Arial" w:hAnsi="Arial" w:cs="Arial"/>
                <w:sz w:val="22"/>
                <w:szCs w:val="22"/>
              </w:rPr>
            </w:pPr>
            <w:r w:rsidRPr="00057239">
              <w:rPr>
                <w:rFonts w:ascii="Arial" w:hAnsi="Arial" w:cs="Arial"/>
                <w:sz w:val="22"/>
                <w:szCs w:val="22"/>
              </w:rPr>
              <w:t xml:space="preserve">be registered with the General Optical Council, and have been registered for a minimum of 2 years. </w:t>
            </w:r>
          </w:p>
          <w:p w:rsidR="006F6573" w:rsidRPr="00057239" w:rsidRDefault="006F6573" w:rsidP="006F6573">
            <w:pPr>
              <w:pStyle w:val="NoSpacing"/>
              <w:numPr>
                <w:ilvl w:val="0"/>
                <w:numId w:val="9"/>
              </w:numPr>
              <w:rPr>
                <w:rFonts w:ascii="Arial" w:hAnsi="Arial" w:cs="Arial"/>
                <w:sz w:val="22"/>
                <w:szCs w:val="22"/>
              </w:rPr>
            </w:pPr>
            <w:r w:rsidRPr="00057239">
              <w:rPr>
                <w:rFonts w:ascii="Arial" w:hAnsi="Arial" w:cs="Arial"/>
                <w:sz w:val="22"/>
                <w:szCs w:val="22"/>
              </w:rPr>
              <w:t>be registered on the NHS England performers list.</w:t>
            </w:r>
          </w:p>
          <w:p w:rsidR="006F6573" w:rsidRPr="00057239" w:rsidRDefault="006F6573" w:rsidP="006F6573">
            <w:pPr>
              <w:pStyle w:val="NoSpacing"/>
              <w:numPr>
                <w:ilvl w:val="0"/>
                <w:numId w:val="9"/>
              </w:numPr>
              <w:rPr>
                <w:rFonts w:ascii="Arial" w:hAnsi="Arial" w:cs="Arial"/>
                <w:sz w:val="22"/>
                <w:szCs w:val="22"/>
              </w:rPr>
            </w:pPr>
            <w:r w:rsidRPr="00057239">
              <w:rPr>
                <w:rFonts w:ascii="Arial" w:hAnsi="Arial" w:cs="Arial"/>
                <w:sz w:val="22"/>
                <w:szCs w:val="22"/>
              </w:rPr>
              <w:t xml:space="preserve">have the appropriate indemnity insurance and be able to provide evidence. </w:t>
            </w:r>
          </w:p>
          <w:p w:rsidR="006F6573" w:rsidRPr="00057239" w:rsidRDefault="006F6573" w:rsidP="006F6573">
            <w:pPr>
              <w:pStyle w:val="NoSpacing"/>
              <w:numPr>
                <w:ilvl w:val="0"/>
                <w:numId w:val="9"/>
              </w:numPr>
              <w:rPr>
                <w:rFonts w:ascii="Arial" w:hAnsi="Arial" w:cs="Arial"/>
                <w:sz w:val="22"/>
                <w:szCs w:val="22"/>
              </w:rPr>
            </w:pPr>
            <w:r w:rsidRPr="00057239">
              <w:rPr>
                <w:rFonts w:ascii="Arial" w:hAnsi="Arial" w:cs="Arial"/>
                <w:sz w:val="22"/>
                <w:szCs w:val="22"/>
              </w:rPr>
              <w:t xml:space="preserve">assess a minimum of 24 patients per annum to maintain their accreditation and be able to provide evidence of this  </w:t>
            </w:r>
          </w:p>
          <w:p w:rsidR="006F6573" w:rsidRPr="00057239" w:rsidRDefault="006F6573" w:rsidP="006F6573">
            <w:pPr>
              <w:pStyle w:val="NoSpacing"/>
              <w:numPr>
                <w:ilvl w:val="0"/>
                <w:numId w:val="9"/>
              </w:numPr>
              <w:rPr>
                <w:rFonts w:ascii="Arial" w:hAnsi="Arial" w:cs="Arial"/>
                <w:sz w:val="22"/>
                <w:szCs w:val="22"/>
              </w:rPr>
            </w:pPr>
            <w:r w:rsidRPr="00057239">
              <w:rPr>
                <w:rFonts w:ascii="Arial" w:hAnsi="Arial" w:cs="Arial"/>
                <w:sz w:val="22"/>
                <w:szCs w:val="22"/>
              </w:rPr>
              <w:t>be under the supervision and approval of a Consultant Ophthalmologist</w:t>
            </w:r>
            <w:r w:rsidRPr="00057239">
              <w:rPr>
                <w:rStyle w:val="FootnoteReference"/>
                <w:rFonts w:ascii="Arial" w:hAnsi="Arial" w:cs="Arial"/>
                <w:sz w:val="22"/>
                <w:szCs w:val="22"/>
              </w:rPr>
              <w:footnoteReference w:id="2"/>
            </w:r>
            <w:r w:rsidRPr="00057239">
              <w:rPr>
                <w:rFonts w:ascii="Arial" w:hAnsi="Arial" w:cs="Arial"/>
                <w:sz w:val="22"/>
                <w:szCs w:val="22"/>
              </w:rPr>
              <w:t xml:space="preserve"> specialising in glaucoma.  The Consultant will confirm suitability to the CCG</w:t>
            </w:r>
            <w:r w:rsidRPr="00057239">
              <w:rPr>
                <w:rStyle w:val="FootnoteReference"/>
                <w:rFonts w:ascii="Arial" w:hAnsi="Arial" w:cs="Arial"/>
                <w:sz w:val="22"/>
                <w:szCs w:val="22"/>
              </w:rPr>
              <w:footnoteReference w:id="3"/>
            </w:r>
            <w:r w:rsidRPr="00057239">
              <w:rPr>
                <w:rFonts w:ascii="Arial" w:hAnsi="Arial" w:cs="Arial"/>
                <w:sz w:val="22"/>
                <w:szCs w:val="22"/>
              </w:rPr>
              <w:t>.</w:t>
            </w:r>
          </w:p>
          <w:p w:rsidR="006F6573" w:rsidRDefault="006F6573" w:rsidP="006F6573">
            <w:pPr>
              <w:pStyle w:val="NoSpacing"/>
              <w:numPr>
                <w:ilvl w:val="0"/>
                <w:numId w:val="9"/>
              </w:numPr>
              <w:rPr>
                <w:rFonts w:ascii="Arial" w:hAnsi="Arial" w:cs="Arial"/>
                <w:sz w:val="22"/>
                <w:szCs w:val="22"/>
              </w:rPr>
            </w:pPr>
            <w:r w:rsidRPr="00057239">
              <w:rPr>
                <w:rFonts w:ascii="Arial" w:hAnsi="Arial" w:cs="Arial"/>
                <w:sz w:val="22"/>
                <w:szCs w:val="22"/>
              </w:rPr>
              <w:t>be responsible for ensuring all persons employed or engaged by them in respect of the provision of the service under the Contract are aware of the administration requirements of the service.</w:t>
            </w:r>
          </w:p>
          <w:p w:rsidR="006F6573" w:rsidRPr="00057239" w:rsidRDefault="006F6573" w:rsidP="00502D22">
            <w:pPr>
              <w:pStyle w:val="NoSpacing"/>
              <w:rPr>
                <w:rFonts w:ascii="Arial" w:hAnsi="Arial" w:cs="Arial"/>
                <w:sz w:val="22"/>
                <w:szCs w:val="22"/>
              </w:rPr>
            </w:pPr>
          </w:p>
          <w:p w:rsidR="006F6573" w:rsidRPr="00FD5B75" w:rsidRDefault="006F6573" w:rsidP="00502D22">
            <w:pPr>
              <w:spacing w:after="0"/>
              <w:rPr>
                <w:rFonts w:ascii="Arial" w:hAnsi="Arial" w:cs="Arial"/>
                <w:b/>
                <w:sz w:val="22"/>
                <w:szCs w:val="22"/>
              </w:rPr>
            </w:pPr>
            <w:r w:rsidRPr="00FD5B75">
              <w:rPr>
                <w:rFonts w:ascii="Arial" w:hAnsi="Arial" w:cs="Arial"/>
                <w:b/>
                <w:sz w:val="22"/>
                <w:szCs w:val="22"/>
              </w:rPr>
              <w:t>Equipment and premises</w:t>
            </w:r>
          </w:p>
          <w:p w:rsidR="006F6573" w:rsidRPr="00FD5B75" w:rsidRDefault="006F6573" w:rsidP="00502D22">
            <w:pPr>
              <w:pStyle w:val="Default"/>
              <w:jc w:val="both"/>
              <w:rPr>
                <w:rFonts w:ascii="Arial" w:hAnsi="Arial" w:cs="Arial"/>
                <w:bCs/>
                <w:color w:val="auto"/>
                <w:sz w:val="22"/>
                <w:szCs w:val="22"/>
              </w:rPr>
            </w:pPr>
          </w:p>
          <w:p w:rsidR="006F6573" w:rsidRPr="00FD5B75" w:rsidRDefault="006F6573" w:rsidP="00502D22">
            <w:pPr>
              <w:pStyle w:val="Default"/>
              <w:jc w:val="both"/>
              <w:rPr>
                <w:rFonts w:ascii="Arial" w:hAnsi="Arial" w:cs="Arial"/>
                <w:bCs/>
                <w:color w:val="auto"/>
                <w:sz w:val="22"/>
                <w:szCs w:val="22"/>
              </w:rPr>
            </w:pPr>
            <w:r w:rsidRPr="00FD5B75">
              <w:rPr>
                <w:rFonts w:ascii="Arial" w:hAnsi="Arial" w:cs="Arial"/>
                <w:bCs/>
                <w:color w:val="auto"/>
                <w:sz w:val="22"/>
                <w:szCs w:val="22"/>
              </w:rPr>
              <w:t>A Goldmann Probe type Applanation Tonometer (GAT) is a “must have” piece of equipment in order to deliver this service.  In addition, the ‘Humphreys’ Visual Field Analyser must also be used.</w:t>
            </w:r>
          </w:p>
          <w:p w:rsidR="006F6573" w:rsidRPr="00FD5B75" w:rsidRDefault="006F6573" w:rsidP="00502D22">
            <w:pPr>
              <w:pStyle w:val="Default"/>
              <w:jc w:val="both"/>
              <w:rPr>
                <w:rFonts w:ascii="Arial" w:hAnsi="Arial" w:cs="Arial"/>
                <w:bCs/>
                <w:color w:val="auto"/>
                <w:sz w:val="22"/>
                <w:szCs w:val="22"/>
              </w:rPr>
            </w:pPr>
          </w:p>
          <w:p w:rsidR="006F6573" w:rsidRPr="00FD5B75" w:rsidRDefault="006F6573" w:rsidP="00502D22">
            <w:pPr>
              <w:pStyle w:val="Default"/>
              <w:jc w:val="both"/>
              <w:rPr>
                <w:rFonts w:ascii="Arial" w:hAnsi="Arial" w:cs="Arial"/>
                <w:bCs/>
                <w:color w:val="auto"/>
                <w:sz w:val="22"/>
                <w:szCs w:val="22"/>
              </w:rPr>
            </w:pPr>
            <w:r w:rsidRPr="00FD5B75">
              <w:rPr>
                <w:rFonts w:ascii="Arial" w:hAnsi="Arial" w:cs="Arial"/>
                <w:bCs/>
                <w:color w:val="auto"/>
                <w:sz w:val="22"/>
                <w:szCs w:val="22"/>
              </w:rPr>
              <w:t xml:space="preserve">All participating Optometrists must be able to demonstrate that their premises meet the minimum requirements with regard to facilities and infection control as defined in the Quality In Optometry (level 1) guidance. They will also have the following equipment/facilities in workable order, fully calibrated on an annual basis, and their practice and equipment will be available for inspection, if required.             </w:t>
            </w:r>
          </w:p>
          <w:p w:rsidR="006F6573" w:rsidRPr="00FD5B75" w:rsidRDefault="006F6573" w:rsidP="00502D22">
            <w:pPr>
              <w:pStyle w:val="Default"/>
              <w:jc w:val="both"/>
              <w:rPr>
                <w:rFonts w:ascii="Arial" w:hAnsi="Arial" w:cs="Arial"/>
                <w:bCs/>
                <w:color w:val="auto"/>
                <w:sz w:val="22"/>
                <w:szCs w:val="22"/>
              </w:rPr>
            </w:pPr>
          </w:p>
          <w:p w:rsidR="006F6573" w:rsidRPr="00FD5B75" w:rsidRDefault="006F6573" w:rsidP="006F6573">
            <w:pPr>
              <w:pStyle w:val="Default"/>
              <w:numPr>
                <w:ilvl w:val="0"/>
                <w:numId w:val="6"/>
              </w:numPr>
              <w:jc w:val="both"/>
              <w:rPr>
                <w:rFonts w:ascii="Arial" w:hAnsi="Arial" w:cs="Arial"/>
                <w:bCs/>
                <w:color w:val="auto"/>
                <w:sz w:val="22"/>
                <w:szCs w:val="22"/>
              </w:rPr>
            </w:pPr>
            <w:r w:rsidRPr="00FD5B75">
              <w:rPr>
                <w:rFonts w:ascii="Arial" w:hAnsi="Arial" w:cs="Arial"/>
                <w:bCs/>
                <w:color w:val="auto"/>
                <w:sz w:val="22"/>
                <w:szCs w:val="22"/>
              </w:rPr>
              <w:t>Goldman Probe type Applanation Tonometer</w:t>
            </w:r>
          </w:p>
          <w:p w:rsidR="006F6573" w:rsidRPr="00FD5B75" w:rsidRDefault="006F6573" w:rsidP="006F6573">
            <w:pPr>
              <w:pStyle w:val="Default"/>
              <w:numPr>
                <w:ilvl w:val="0"/>
                <w:numId w:val="5"/>
              </w:numPr>
              <w:jc w:val="both"/>
              <w:rPr>
                <w:rFonts w:ascii="Arial" w:hAnsi="Arial" w:cs="Arial"/>
                <w:bCs/>
                <w:color w:val="auto"/>
                <w:sz w:val="22"/>
                <w:szCs w:val="22"/>
              </w:rPr>
            </w:pPr>
            <w:r w:rsidRPr="00FD5B75">
              <w:rPr>
                <w:rFonts w:ascii="Arial" w:hAnsi="Arial" w:cs="Arial"/>
                <w:bCs/>
                <w:color w:val="auto"/>
                <w:sz w:val="22"/>
                <w:szCs w:val="22"/>
              </w:rPr>
              <w:t>Slit lamp</w:t>
            </w:r>
          </w:p>
          <w:p w:rsidR="006F6573" w:rsidRPr="00FD5B75" w:rsidRDefault="006F6573" w:rsidP="006F6573">
            <w:pPr>
              <w:pStyle w:val="Default"/>
              <w:numPr>
                <w:ilvl w:val="0"/>
                <w:numId w:val="5"/>
              </w:numPr>
              <w:jc w:val="both"/>
              <w:rPr>
                <w:rFonts w:ascii="Arial" w:hAnsi="Arial" w:cs="Arial"/>
                <w:bCs/>
                <w:sz w:val="22"/>
                <w:szCs w:val="22"/>
              </w:rPr>
            </w:pPr>
            <w:r w:rsidRPr="00FD5B75">
              <w:rPr>
                <w:rFonts w:ascii="Arial" w:hAnsi="Arial" w:cs="Arial"/>
                <w:bCs/>
                <w:color w:val="auto"/>
                <w:sz w:val="22"/>
                <w:szCs w:val="22"/>
              </w:rPr>
              <w:t xml:space="preserve">Zeiss ‘Humphreys’ Visual Field Analyser with </w:t>
            </w:r>
            <w:r w:rsidRPr="00FD5B75">
              <w:rPr>
                <w:rFonts w:ascii="Arial" w:eastAsia="MS Mincho" w:hAnsi="Arial" w:cs="Arial"/>
                <w:sz w:val="22"/>
                <w:szCs w:val="22"/>
                <w:lang w:val="en-US" w:eastAsia="ja-JP"/>
              </w:rPr>
              <w:t>SITA (24/2 FAST)</w:t>
            </w:r>
          </w:p>
          <w:p w:rsidR="006F6573" w:rsidRPr="00FD5B75" w:rsidRDefault="006F6573" w:rsidP="006F6573">
            <w:pPr>
              <w:pStyle w:val="Default"/>
              <w:numPr>
                <w:ilvl w:val="0"/>
                <w:numId w:val="5"/>
              </w:numPr>
              <w:jc w:val="both"/>
              <w:rPr>
                <w:rFonts w:ascii="Arial" w:hAnsi="Arial" w:cs="Arial"/>
                <w:bCs/>
                <w:color w:val="auto"/>
                <w:sz w:val="22"/>
                <w:szCs w:val="22"/>
              </w:rPr>
            </w:pPr>
            <w:r w:rsidRPr="00FD5B75">
              <w:rPr>
                <w:rFonts w:ascii="Arial" w:hAnsi="Arial" w:cs="Arial"/>
                <w:bCs/>
                <w:color w:val="auto"/>
                <w:sz w:val="22"/>
                <w:szCs w:val="22"/>
              </w:rPr>
              <w:t>Indirect BIO Lens</w:t>
            </w:r>
          </w:p>
          <w:p w:rsidR="006F6573" w:rsidRPr="00FD5B75" w:rsidRDefault="006F6573" w:rsidP="006F6573">
            <w:pPr>
              <w:pStyle w:val="Default"/>
              <w:numPr>
                <w:ilvl w:val="0"/>
                <w:numId w:val="5"/>
              </w:numPr>
              <w:jc w:val="both"/>
              <w:rPr>
                <w:rFonts w:ascii="Arial" w:hAnsi="Arial" w:cs="Arial"/>
                <w:bCs/>
                <w:color w:val="auto"/>
                <w:sz w:val="22"/>
                <w:szCs w:val="22"/>
              </w:rPr>
            </w:pPr>
            <w:r w:rsidRPr="00FD5B75">
              <w:rPr>
                <w:rFonts w:ascii="Arial" w:hAnsi="Arial" w:cs="Arial"/>
                <w:sz w:val="22"/>
                <w:szCs w:val="22"/>
              </w:rPr>
              <w:t>Telephone</w:t>
            </w:r>
          </w:p>
          <w:p w:rsidR="006F6573" w:rsidRPr="00FD5B75" w:rsidRDefault="006F6573" w:rsidP="00502D22">
            <w:pPr>
              <w:pStyle w:val="Default"/>
              <w:ind w:left="720"/>
              <w:jc w:val="both"/>
              <w:rPr>
                <w:rFonts w:ascii="Arial" w:hAnsi="Arial" w:cs="Arial"/>
                <w:bCs/>
                <w:color w:val="auto"/>
                <w:sz w:val="22"/>
                <w:szCs w:val="22"/>
              </w:rPr>
            </w:pPr>
          </w:p>
          <w:p w:rsidR="006F6573" w:rsidRPr="00FD5B75" w:rsidRDefault="006F6573" w:rsidP="00502D22">
            <w:pPr>
              <w:jc w:val="both"/>
              <w:rPr>
                <w:rFonts w:ascii="Arial" w:hAnsi="Arial" w:cs="Arial"/>
                <w:b/>
                <w:sz w:val="22"/>
                <w:szCs w:val="22"/>
              </w:rPr>
            </w:pPr>
            <w:r w:rsidRPr="00FD5B75">
              <w:rPr>
                <w:rFonts w:ascii="Arial" w:hAnsi="Arial" w:cs="Arial"/>
                <w:b/>
                <w:sz w:val="22"/>
                <w:szCs w:val="22"/>
              </w:rPr>
              <w:t>Responsibilities</w:t>
            </w:r>
          </w:p>
          <w:p w:rsidR="006F6573" w:rsidRPr="00FD5B75" w:rsidRDefault="006F6573" w:rsidP="00502D22">
            <w:pPr>
              <w:jc w:val="both"/>
              <w:rPr>
                <w:rFonts w:ascii="Arial" w:hAnsi="Arial" w:cs="Arial"/>
                <w:sz w:val="22"/>
                <w:szCs w:val="22"/>
              </w:rPr>
            </w:pPr>
            <w:r w:rsidRPr="00FD5B75">
              <w:rPr>
                <w:rFonts w:ascii="Arial" w:hAnsi="Arial" w:cs="Arial"/>
                <w:sz w:val="22"/>
                <w:szCs w:val="22"/>
              </w:rPr>
              <w:t>The responsibilities of the Provider are outlined below:</w:t>
            </w:r>
          </w:p>
          <w:p w:rsidR="006F6573" w:rsidRPr="00057239" w:rsidRDefault="006F6573" w:rsidP="006F6573">
            <w:pPr>
              <w:pStyle w:val="NoSpacing"/>
              <w:numPr>
                <w:ilvl w:val="0"/>
                <w:numId w:val="10"/>
              </w:numPr>
              <w:rPr>
                <w:rFonts w:ascii="Arial" w:hAnsi="Arial" w:cs="Arial"/>
                <w:sz w:val="22"/>
                <w:szCs w:val="22"/>
              </w:rPr>
            </w:pPr>
            <w:r w:rsidRPr="00057239">
              <w:rPr>
                <w:rFonts w:ascii="Arial" w:hAnsi="Arial" w:cs="Arial"/>
                <w:sz w:val="22"/>
                <w:szCs w:val="22"/>
              </w:rPr>
              <w:t>arrange appointment with patient at agreed regular intervals and follow up on DNAs.</w:t>
            </w:r>
          </w:p>
          <w:p w:rsidR="006F6573" w:rsidRPr="00057239" w:rsidRDefault="006F6573" w:rsidP="006F6573">
            <w:pPr>
              <w:pStyle w:val="NoSpacing"/>
              <w:numPr>
                <w:ilvl w:val="0"/>
                <w:numId w:val="10"/>
              </w:numPr>
              <w:rPr>
                <w:rFonts w:ascii="Arial" w:hAnsi="Arial" w:cs="Arial"/>
                <w:sz w:val="22"/>
                <w:szCs w:val="22"/>
              </w:rPr>
            </w:pPr>
            <w:r w:rsidRPr="00057239">
              <w:rPr>
                <w:rFonts w:ascii="Arial" w:hAnsi="Arial" w:cs="Arial"/>
                <w:sz w:val="22"/>
                <w:szCs w:val="22"/>
              </w:rPr>
              <w:t>measure the patient’s visual acuities and undertake visual field testing; record these and the date of examination on the patient’s ‘shared’ care record card.</w:t>
            </w:r>
          </w:p>
          <w:p w:rsidR="006F6573" w:rsidRPr="00057239" w:rsidRDefault="006F6573" w:rsidP="006F6573">
            <w:pPr>
              <w:pStyle w:val="NoSpacing"/>
              <w:numPr>
                <w:ilvl w:val="0"/>
                <w:numId w:val="10"/>
              </w:numPr>
              <w:rPr>
                <w:rFonts w:ascii="Arial" w:hAnsi="Arial" w:cs="Arial"/>
                <w:sz w:val="22"/>
                <w:szCs w:val="22"/>
              </w:rPr>
            </w:pPr>
            <w:r w:rsidRPr="00057239">
              <w:rPr>
                <w:rFonts w:ascii="Arial" w:hAnsi="Arial" w:cs="Arial"/>
                <w:sz w:val="22"/>
                <w:szCs w:val="22"/>
              </w:rPr>
              <w:t>examine optic discs by using stereoscopic slit lamp biomicroscopy and indirect BIO lens, unless not possible due to restricted access to slit lamp. Where direct ophthalmoscopy is used, the reason for this must be recorded in the patient record.</w:t>
            </w:r>
          </w:p>
          <w:p w:rsidR="006F6573" w:rsidRPr="00057239" w:rsidRDefault="006F6573" w:rsidP="006F6573">
            <w:pPr>
              <w:pStyle w:val="NoSpacing"/>
              <w:numPr>
                <w:ilvl w:val="0"/>
                <w:numId w:val="10"/>
              </w:numPr>
              <w:rPr>
                <w:rFonts w:ascii="Arial" w:hAnsi="Arial" w:cs="Arial"/>
                <w:sz w:val="22"/>
                <w:szCs w:val="22"/>
              </w:rPr>
            </w:pPr>
            <w:r w:rsidRPr="00057239">
              <w:rPr>
                <w:rFonts w:ascii="Arial" w:hAnsi="Arial" w:cs="Arial"/>
                <w:sz w:val="22"/>
                <w:szCs w:val="22"/>
              </w:rPr>
              <w:t>measure the IOP using appropriate equipment (GAT) and record results in record card</w:t>
            </w:r>
          </w:p>
          <w:p w:rsidR="006F6573" w:rsidRPr="00057239" w:rsidRDefault="006F6573" w:rsidP="006F6573">
            <w:pPr>
              <w:pStyle w:val="NoSpacing"/>
              <w:numPr>
                <w:ilvl w:val="0"/>
                <w:numId w:val="10"/>
              </w:numPr>
              <w:rPr>
                <w:rFonts w:ascii="Arial" w:hAnsi="Arial" w:cs="Arial"/>
                <w:sz w:val="22"/>
                <w:szCs w:val="22"/>
              </w:rPr>
            </w:pPr>
            <w:r w:rsidRPr="00057239">
              <w:rPr>
                <w:rFonts w:ascii="Arial" w:hAnsi="Arial" w:cs="Arial"/>
                <w:sz w:val="22"/>
                <w:szCs w:val="22"/>
              </w:rPr>
              <w:t>communicate findings to hospital and GP</w:t>
            </w:r>
          </w:p>
          <w:p w:rsidR="006F6573" w:rsidRPr="00057239" w:rsidRDefault="006F6573" w:rsidP="006F6573">
            <w:pPr>
              <w:pStyle w:val="NoSpacing"/>
              <w:numPr>
                <w:ilvl w:val="0"/>
                <w:numId w:val="10"/>
              </w:numPr>
              <w:rPr>
                <w:rFonts w:ascii="Arial" w:hAnsi="Arial" w:cs="Arial"/>
                <w:sz w:val="22"/>
                <w:szCs w:val="22"/>
              </w:rPr>
            </w:pPr>
            <w:r w:rsidRPr="00057239">
              <w:rPr>
                <w:rFonts w:ascii="Arial" w:hAnsi="Arial" w:cs="Arial"/>
                <w:sz w:val="22"/>
                <w:szCs w:val="22"/>
              </w:rPr>
              <w:t>make arrangements to transfer patients back to the hospital eye department where results fall outside of the agreed parameters, or where agreed interval ends</w:t>
            </w:r>
          </w:p>
          <w:p w:rsidR="006F6573" w:rsidRPr="00057239" w:rsidRDefault="006F6573" w:rsidP="006F6573">
            <w:pPr>
              <w:pStyle w:val="NoSpacing"/>
              <w:numPr>
                <w:ilvl w:val="0"/>
                <w:numId w:val="10"/>
              </w:numPr>
              <w:rPr>
                <w:rFonts w:ascii="Arial" w:hAnsi="Arial" w:cs="Arial"/>
                <w:sz w:val="22"/>
                <w:szCs w:val="22"/>
              </w:rPr>
            </w:pPr>
            <w:r w:rsidRPr="00057239">
              <w:rPr>
                <w:rFonts w:ascii="Arial" w:hAnsi="Arial" w:cs="Arial"/>
                <w:sz w:val="22"/>
                <w:szCs w:val="22"/>
              </w:rPr>
              <w:t>utilise the interpreter service commissioned by the Wessex Area Team for patients that wish to communicate using a language other than English</w:t>
            </w:r>
          </w:p>
          <w:p w:rsidR="006F6573" w:rsidRPr="00057239" w:rsidRDefault="006F6573" w:rsidP="006F6573">
            <w:pPr>
              <w:pStyle w:val="NoSpacing"/>
              <w:numPr>
                <w:ilvl w:val="0"/>
                <w:numId w:val="10"/>
              </w:numPr>
              <w:rPr>
                <w:rFonts w:ascii="Arial" w:hAnsi="Arial" w:cs="Arial"/>
                <w:sz w:val="22"/>
                <w:szCs w:val="22"/>
              </w:rPr>
            </w:pPr>
            <w:r w:rsidRPr="00057239">
              <w:rPr>
                <w:rFonts w:ascii="Arial" w:hAnsi="Arial" w:cs="Arial"/>
                <w:sz w:val="22"/>
                <w:szCs w:val="22"/>
              </w:rPr>
              <w:t>undertake an annual patient survey as directed by the CCG</w:t>
            </w:r>
          </w:p>
          <w:p w:rsidR="006F6573" w:rsidRDefault="006F6573" w:rsidP="006F6573">
            <w:pPr>
              <w:pStyle w:val="NoSpacing"/>
              <w:numPr>
                <w:ilvl w:val="0"/>
                <w:numId w:val="10"/>
              </w:numPr>
              <w:rPr>
                <w:rFonts w:ascii="Arial" w:hAnsi="Arial" w:cs="Arial"/>
                <w:sz w:val="22"/>
                <w:szCs w:val="22"/>
              </w:rPr>
            </w:pPr>
            <w:r w:rsidRPr="00057239">
              <w:rPr>
                <w:rFonts w:ascii="Arial" w:hAnsi="Arial" w:cs="Arial"/>
                <w:sz w:val="22"/>
                <w:szCs w:val="22"/>
              </w:rPr>
              <w:t>submit quarterly claims to CCG for payment</w:t>
            </w:r>
          </w:p>
          <w:p w:rsidR="006F6573" w:rsidRPr="00057239" w:rsidRDefault="006F6573" w:rsidP="00502D22">
            <w:pPr>
              <w:pStyle w:val="NoSpacing"/>
              <w:ind w:left="720"/>
              <w:rPr>
                <w:rFonts w:ascii="Arial" w:hAnsi="Arial" w:cs="Arial"/>
                <w:sz w:val="22"/>
                <w:szCs w:val="22"/>
              </w:rPr>
            </w:pPr>
          </w:p>
          <w:p w:rsidR="006F6573" w:rsidRPr="00FD5B75" w:rsidRDefault="006F6573" w:rsidP="00502D22">
            <w:pPr>
              <w:spacing w:after="0"/>
              <w:rPr>
                <w:rFonts w:ascii="Arial" w:hAnsi="Arial" w:cs="Arial"/>
                <w:b/>
                <w:color w:val="009966"/>
                <w:sz w:val="22"/>
                <w:szCs w:val="22"/>
              </w:rPr>
            </w:pPr>
            <w:r w:rsidRPr="00FD5B75">
              <w:rPr>
                <w:rFonts w:ascii="Arial" w:hAnsi="Arial" w:cs="Arial"/>
                <w:b/>
                <w:color w:val="009966"/>
                <w:sz w:val="22"/>
                <w:szCs w:val="22"/>
              </w:rPr>
              <w:t>3.3</w:t>
            </w:r>
            <w:r w:rsidRPr="00FD5B75">
              <w:rPr>
                <w:rFonts w:ascii="Arial" w:hAnsi="Arial" w:cs="Arial"/>
                <w:b/>
                <w:color w:val="009966"/>
                <w:sz w:val="22"/>
                <w:szCs w:val="22"/>
              </w:rPr>
              <w:tab/>
              <w:t>Population covered</w:t>
            </w:r>
          </w:p>
          <w:p w:rsidR="006F6573" w:rsidRPr="00FD5B75" w:rsidRDefault="006F6573" w:rsidP="00502D22">
            <w:pPr>
              <w:spacing w:after="0"/>
              <w:rPr>
                <w:rFonts w:ascii="Arial" w:hAnsi="Arial" w:cs="Arial"/>
                <w:color w:val="009966"/>
                <w:sz w:val="22"/>
                <w:szCs w:val="22"/>
              </w:rPr>
            </w:pPr>
          </w:p>
          <w:p w:rsidR="006F6573" w:rsidRPr="00FD5B75" w:rsidRDefault="006F6573" w:rsidP="00502D22">
            <w:pPr>
              <w:spacing w:after="0"/>
              <w:jc w:val="both"/>
              <w:rPr>
                <w:rFonts w:ascii="Arial" w:hAnsi="Arial" w:cs="Arial"/>
                <w:color w:val="000000"/>
                <w:sz w:val="22"/>
                <w:szCs w:val="22"/>
              </w:rPr>
            </w:pPr>
            <w:r w:rsidRPr="00FD5B75">
              <w:rPr>
                <w:rFonts w:ascii="Arial" w:hAnsi="Arial" w:cs="Arial"/>
                <w:color w:val="000000"/>
                <w:sz w:val="22"/>
                <w:szCs w:val="22"/>
              </w:rPr>
              <w:t>Patients who are identified as having Stable Glaucoma, that meet the acceptance criteria, and are registered with a GP Practice that is a member of NHS South Eastern Hampshire or Fareham and Gosport CCG</w:t>
            </w:r>
          </w:p>
          <w:p w:rsidR="006F6573" w:rsidRPr="00FD5B75" w:rsidRDefault="006F6573" w:rsidP="00502D22">
            <w:pPr>
              <w:spacing w:after="0"/>
              <w:rPr>
                <w:rFonts w:ascii="Arial" w:hAnsi="Arial" w:cs="Arial"/>
                <w:color w:val="009966"/>
                <w:sz w:val="22"/>
                <w:szCs w:val="22"/>
              </w:rPr>
            </w:pPr>
          </w:p>
          <w:p w:rsidR="006F6573" w:rsidRPr="00FD5B75" w:rsidRDefault="006F6573" w:rsidP="00502D22">
            <w:pPr>
              <w:spacing w:after="0"/>
              <w:rPr>
                <w:rFonts w:ascii="Arial" w:hAnsi="Arial" w:cs="Arial"/>
                <w:b/>
                <w:color w:val="009966"/>
                <w:sz w:val="22"/>
                <w:szCs w:val="22"/>
              </w:rPr>
            </w:pPr>
            <w:r w:rsidRPr="00FD5B75">
              <w:rPr>
                <w:rFonts w:ascii="Arial" w:hAnsi="Arial" w:cs="Arial"/>
                <w:b/>
                <w:color w:val="009966"/>
                <w:sz w:val="22"/>
                <w:szCs w:val="22"/>
              </w:rPr>
              <w:t>3.4</w:t>
            </w:r>
            <w:r w:rsidRPr="00FD5B75">
              <w:rPr>
                <w:rFonts w:ascii="Arial" w:hAnsi="Arial" w:cs="Arial"/>
                <w:b/>
                <w:color w:val="009966"/>
                <w:sz w:val="22"/>
                <w:szCs w:val="22"/>
              </w:rPr>
              <w:tab/>
              <w:t>Any acceptance and exclusion criteria and thresholds</w:t>
            </w:r>
          </w:p>
          <w:p w:rsidR="006F6573" w:rsidRPr="00FD5B75" w:rsidRDefault="006F6573" w:rsidP="00502D22">
            <w:pPr>
              <w:spacing w:after="0"/>
              <w:rPr>
                <w:rFonts w:ascii="Arial" w:hAnsi="Arial" w:cs="Arial"/>
                <w:color w:val="009966"/>
                <w:sz w:val="22"/>
                <w:szCs w:val="22"/>
              </w:rPr>
            </w:pPr>
          </w:p>
          <w:p w:rsidR="006F6573" w:rsidRPr="00FD5B75" w:rsidRDefault="006F6573" w:rsidP="00502D22">
            <w:pPr>
              <w:spacing w:after="0"/>
              <w:rPr>
                <w:rFonts w:ascii="Arial" w:hAnsi="Arial" w:cs="Arial"/>
                <w:color w:val="000000"/>
                <w:sz w:val="22"/>
                <w:szCs w:val="22"/>
              </w:rPr>
            </w:pPr>
            <w:r w:rsidRPr="00FD5B75">
              <w:rPr>
                <w:rFonts w:ascii="Arial" w:hAnsi="Arial" w:cs="Arial"/>
                <w:color w:val="000000"/>
                <w:sz w:val="22"/>
                <w:szCs w:val="22"/>
              </w:rPr>
              <w:t>Patients must be aged 18 or over.</w:t>
            </w:r>
          </w:p>
          <w:p w:rsidR="006F6573" w:rsidRPr="00FD5B75" w:rsidRDefault="006F6573" w:rsidP="00502D22">
            <w:pPr>
              <w:spacing w:after="0"/>
              <w:rPr>
                <w:rFonts w:ascii="Arial" w:hAnsi="Arial" w:cs="Arial"/>
                <w:color w:val="000000"/>
                <w:sz w:val="22"/>
                <w:szCs w:val="22"/>
              </w:rPr>
            </w:pPr>
          </w:p>
          <w:p w:rsidR="006F6573" w:rsidRDefault="006F6573" w:rsidP="00502D22">
            <w:pPr>
              <w:pStyle w:val="ListParagraph"/>
              <w:ind w:left="0"/>
              <w:rPr>
                <w:rFonts w:ascii="Arial" w:hAnsi="Arial" w:cs="Arial"/>
                <w:sz w:val="22"/>
                <w:szCs w:val="22"/>
              </w:rPr>
            </w:pPr>
            <w:r w:rsidRPr="00FD5B75">
              <w:rPr>
                <w:rFonts w:ascii="Arial" w:hAnsi="Arial" w:cs="Arial"/>
                <w:color w:val="000000"/>
                <w:sz w:val="22"/>
                <w:szCs w:val="22"/>
              </w:rPr>
              <w:t>The Ophthalmic Contractor and any performers must not have been</w:t>
            </w:r>
            <w:r w:rsidRPr="00FD5B75">
              <w:rPr>
                <w:rFonts w:ascii="Arial" w:hAnsi="Arial" w:cs="Arial"/>
                <w:sz w:val="22"/>
                <w:szCs w:val="22"/>
              </w:rPr>
              <w:t xml:space="preserve"> removed from the register or have conditions been made on their registration by a fitness to practice committee or the licensing or regulatory body in the UK or in any other country or currently be under investigation.</w:t>
            </w:r>
          </w:p>
          <w:p w:rsidR="006F6573" w:rsidRPr="00FD5B75" w:rsidRDefault="006F6573" w:rsidP="00502D22">
            <w:pPr>
              <w:pStyle w:val="ListParagraph"/>
              <w:ind w:left="0"/>
              <w:rPr>
                <w:rFonts w:ascii="Arial" w:hAnsi="Arial" w:cs="Arial"/>
                <w:sz w:val="22"/>
                <w:szCs w:val="22"/>
              </w:rPr>
            </w:pPr>
          </w:p>
          <w:p w:rsidR="006F6573" w:rsidRPr="00FD5B75" w:rsidRDefault="006F6573" w:rsidP="00502D22">
            <w:pPr>
              <w:spacing w:after="0"/>
              <w:rPr>
                <w:rFonts w:ascii="Arial" w:hAnsi="Arial" w:cs="Arial"/>
                <w:b/>
                <w:color w:val="009966"/>
                <w:sz w:val="22"/>
                <w:szCs w:val="22"/>
              </w:rPr>
            </w:pPr>
            <w:r w:rsidRPr="00FD5B75">
              <w:rPr>
                <w:rFonts w:ascii="Arial" w:hAnsi="Arial" w:cs="Arial"/>
                <w:b/>
                <w:color w:val="009966"/>
                <w:sz w:val="22"/>
                <w:szCs w:val="22"/>
              </w:rPr>
              <w:t>3.5</w:t>
            </w:r>
            <w:r w:rsidRPr="00FD5B75">
              <w:rPr>
                <w:rFonts w:ascii="Arial" w:hAnsi="Arial" w:cs="Arial"/>
                <w:b/>
                <w:color w:val="009966"/>
                <w:sz w:val="22"/>
                <w:szCs w:val="22"/>
              </w:rPr>
              <w:tab/>
              <w:t>Interdependence with other services/providers</w:t>
            </w:r>
          </w:p>
          <w:p w:rsidR="006F6573" w:rsidRPr="00FD5B75" w:rsidRDefault="006F6573" w:rsidP="00502D22">
            <w:pPr>
              <w:spacing w:after="0"/>
              <w:rPr>
                <w:rFonts w:ascii="Arial" w:hAnsi="Arial" w:cs="Arial"/>
                <w:color w:val="009966"/>
                <w:sz w:val="22"/>
                <w:szCs w:val="22"/>
              </w:rPr>
            </w:pPr>
          </w:p>
          <w:p w:rsidR="006F6573" w:rsidRPr="00FD5B75" w:rsidRDefault="006F6573" w:rsidP="006F6573">
            <w:pPr>
              <w:numPr>
                <w:ilvl w:val="0"/>
                <w:numId w:val="7"/>
              </w:numPr>
              <w:spacing w:after="0"/>
              <w:jc w:val="both"/>
              <w:rPr>
                <w:rFonts w:ascii="Arial" w:hAnsi="Arial" w:cs="Arial"/>
                <w:color w:val="000000"/>
                <w:sz w:val="22"/>
                <w:szCs w:val="22"/>
                <w:lang w:val="en-GB" w:eastAsia="en-US"/>
              </w:rPr>
            </w:pPr>
            <w:r w:rsidRPr="00FD5B75">
              <w:rPr>
                <w:rFonts w:ascii="Arial" w:hAnsi="Arial" w:cs="Arial"/>
                <w:color w:val="000000"/>
                <w:sz w:val="22"/>
                <w:szCs w:val="22"/>
                <w:lang w:val="en-GB" w:eastAsia="en-US"/>
              </w:rPr>
              <w:t>ACOS</w:t>
            </w:r>
          </w:p>
          <w:p w:rsidR="006F6573" w:rsidRPr="00FD5B75" w:rsidRDefault="006F6573" w:rsidP="006F6573">
            <w:pPr>
              <w:numPr>
                <w:ilvl w:val="0"/>
                <w:numId w:val="7"/>
              </w:numPr>
              <w:spacing w:after="0"/>
              <w:jc w:val="both"/>
              <w:rPr>
                <w:rFonts w:ascii="Arial" w:hAnsi="Arial" w:cs="Arial"/>
                <w:color w:val="000000"/>
                <w:sz w:val="22"/>
                <w:szCs w:val="22"/>
                <w:lang w:val="en-GB" w:eastAsia="en-US"/>
              </w:rPr>
            </w:pPr>
            <w:r w:rsidRPr="00FD5B75">
              <w:rPr>
                <w:rFonts w:ascii="Arial" w:hAnsi="Arial" w:cs="Arial"/>
                <w:color w:val="000000"/>
                <w:sz w:val="22"/>
                <w:szCs w:val="22"/>
                <w:lang w:val="en-GB" w:eastAsia="en-US"/>
              </w:rPr>
              <w:t>Secondary care and Consultant Ophthalmologist</w:t>
            </w:r>
          </w:p>
          <w:p w:rsidR="006F6573" w:rsidRPr="00FD5B75" w:rsidRDefault="006F6573" w:rsidP="006F6573">
            <w:pPr>
              <w:numPr>
                <w:ilvl w:val="0"/>
                <w:numId w:val="7"/>
              </w:numPr>
              <w:spacing w:after="0"/>
              <w:jc w:val="both"/>
              <w:rPr>
                <w:rFonts w:ascii="Arial" w:hAnsi="Arial" w:cs="Arial"/>
                <w:color w:val="000000"/>
                <w:sz w:val="22"/>
                <w:szCs w:val="22"/>
                <w:lang w:val="en-GB" w:eastAsia="en-US"/>
              </w:rPr>
            </w:pPr>
            <w:r w:rsidRPr="00FD5B75">
              <w:rPr>
                <w:rFonts w:ascii="Arial" w:hAnsi="Arial" w:cs="Arial"/>
                <w:color w:val="000000"/>
                <w:sz w:val="22"/>
                <w:szCs w:val="22"/>
                <w:lang w:val="en-GB" w:eastAsia="en-US"/>
              </w:rPr>
              <w:t>Portsmouth Treatment Centre</w:t>
            </w:r>
          </w:p>
          <w:p w:rsidR="006F6573" w:rsidRPr="00FD5B75" w:rsidRDefault="006F6573" w:rsidP="006F6573">
            <w:pPr>
              <w:numPr>
                <w:ilvl w:val="0"/>
                <w:numId w:val="7"/>
              </w:numPr>
              <w:spacing w:after="0"/>
              <w:jc w:val="both"/>
              <w:rPr>
                <w:rFonts w:ascii="Arial" w:hAnsi="Arial" w:cs="Arial"/>
                <w:color w:val="000000"/>
                <w:sz w:val="22"/>
                <w:szCs w:val="22"/>
                <w:lang w:val="en-GB" w:eastAsia="en-US"/>
              </w:rPr>
            </w:pPr>
            <w:r w:rsidRPr="00FD5B75">
              <w:rPr>
                <w:rFonts w:ascii="Arial" w:hAnsi="Arial" w:cs="Arial"/>
                <w:color w:val="000000"/>
                <w:sz w:val="22"/>
                <w:szCs w:val="22"/>
                <w:lang w:val="en-GB" w:eastAsia="en-US"/>
              </w:rPr>
              <w:t>Other ophthalmic contractors</w:t>
            </w:r>
          </w:p>
          <w:p w:rsidR="006F6573" w:rsidRPr="00FD5B75" w:rsidRDefault="006F6573" w:rsidP="00502D22">
            <w:pPr>
              <w:spacing w:after="0"/>
              <w:jc w:val="both"/>
              <w:rPr>
                <w:rFonts w:ascii="Arial" w:hAnsi="Arial" w:cs="Arial"/>
                <w:color w:val="000000"/>
                <w:sz w:val="22"/>
                <w:szCs w:val="22"/>
                <w:lang w:val="en-GB" w:eastAsia="en-US"/>
              </w:rPr>
            </w:pPr>
          </w:p>
          <w:p w:rsidR="006F6573" w:rsidRPr="00FD5B75" w:rsidRDefault="006F6573" w:rsidP="00502D22">
            <w:pPr>
              <w:spacing w:after="0"/>
              <w:jc w:val="both"/>
              <w:rPr>
                <w:rFonts w:ascii="Arial" w:hAnsi="Arial" w:cs="Arial"/>
                <w:color w:val="000000"/>
                <w:sz w:val="22"/>
                <w:szCs w:val="22"/>
                <w:lang w:val="en-GB" w:eastAsia="en-US"/>
              </w:rPr>
            </w:pPr>
            <w:r w:rsidRPr="00FD5B75">
              <w:rPr>
                <w:rFonts w:ascii="Arial" w:hAnsi="Arial" w:cs="Arial"/>
                <w:color w:val="000000"/>
                <w:sz w:val="22"/>
                <w:szCs w:val="22"/>
                <w:lang w:val="en-GB" w:eastAsia="en-US"/>
              </w:rPr>
              <w:t>The service will ensure accurate and timely communication with secondary care providers and the patient’s GP/referring optometrist. Similar communication will be maintained with the patient who will be informed at each stage of their treatment pathway</w:t>
            </w:r>
          </w:p>
          <w:p w:rsidR="006F6573" w:rsidRPr="00FD5B75" w:rsidRDefault="006F6573" w:rsidP="00502D22">
            <w:pPr>
              <w:spacing w:after="0"/>
              <w:jc w:val="both"/>
              <w:rPr>
                <w:rFonts w:ascii="Arial" w:hAnsi="Arial" w:cs="Arial"/>
                <w:color w:val="000000"/>
                <w:sz w:val="22"/>
                <w:szCs w:val="22"/>
                <w:lang w:val="en-GB" w:eastAsia="en-US"/>
              </w:rPr>
            </w:pPr>
          </w:p>
          <w:p w:rsidR="006F6573" w:rsidRPr="00FD5B75" w:rsidRDefault="006F6573" w:rsidP="00502D22">
            <w:pPr>
              <w:pStyle w:val="ListParagraph"/>
              <w:spacing w:before="60" w:after="60"/>
              <w:ind w:left="0"/>
              <w:jc w:val="both"/>
              <w:rPr>
                <w:rFonts w:ascii="Arial" w:hAnsi="Arial" w:cs="Arial"/>
                <w:sz w:val="22"/>
                <w:szCs w:val="22"/>
              </w:rPr>
            </w:pPr>
            <w:r w:rsidRPr="00FD5B75">
              <w:rPr>
                <w:rFonts w:ascii="Arial" w:hAnsi="Arial" w:cs="Arial"/>
                <w:sz w:val="22"/>
                <w:szCs w:val="22"/>
              </w:rPr>
              <w:lastRenderedPageBreak/>
              <w:t>The provider should seek to build strong relationships with any third sector parties involved in this particular area of healthcare (e.g. RNIB, Opensight, International Glaucoma Association, Hampshire glaucoma patient support group).</w:t>
            </w:r>
          </w:p>
          <w:p w:rsidR="006F6573" w:rsidRPr="00FD5B75" w:rsidRDefault="006F6573" w:rsidP="00502D22">
            <w:pPr>
              <w:pStyle w:val="ListParagraph"/>
              <w:spacing w:before="60" w:after="60"/>
              <w:ind w:left="0"/>
              <w:jc w:val="both"/>
              <w:rPr>
                <w:rFonts w:ascii="Arial" w:hAnsi="Arial" w:cs="Arial"/>
                <w:sz w:val="22"/>
                <w:szCs w:val="22"/>
              </w:rPr>
            </w:pPr>
          </w:p>
          <w:p w:rsidR="006F6573" w:rsidRDefault="006F6573" w:rsidP="00502D22">
            <w:pPr>
              <w:pStyle w:val="ListParagraph"/>
              <w:spacing w:before="60" w:after="60"/>
              <w:ind w:left="0"/>
              <w:jc w:val="both"/>
              <w:rPr>
                <w:rFonts w:ascii="Arial" w:hAnsi="Arial" w:cs="Arial"/>
                <w:sz w:val="22"/>
                <w:szCs w:val="22"/>
              </w:rPr>
            </w:pPr>
            <w:r w:rsidRPr="00FD5B75">
              <w:rPr>
                <w:rFonts w:ascii="Arial" w:hAnsi="Arial" w:cs="Arial"/>
                <w:sz w:val="22"/>
                <w:szCs w:val="22"/>
              </w:rPr>
              <w:t>The provider should seek to build strong relationships with all secondary care providers.</w:t>
            </w:r>
          </w:p>
          <w:p w:rsidR="006F6573" w:rsidRDefault="006F6573" w:rsidP="00502D22">
            <w:pPr>
              <w:pStyle w:val="ListParagraph"/>
              <w:spacing w:before="60" w:after="60"/>
              <w:ind w:left="0"/>
              <w:jc w:val="both"/>
              <w:rPr>
                <w:rFonts w:ascii="Arial" w:hAnsi="Arial" w:cs="Arial"/>
                <w:sz w:val="22"/>
                <w:szCs w:val="22"/>
              </w:rPr>
            </w:pPr>
          </w:p>
          <w:p w:rsidR="006F6573" w:rsidRDefault="006F6573" w:rsidP="00502D22">
            <w:pPr>
              <w:pStyle w:val="ListParagraph"/>
              <w:spacing w:before="60" w:after="60"/>
              <w:ind w:left="0"/>
              <w:jc w:val="both"/>
              <w:rPr>
                <w:rFonts w:ascii="Arial" w:hAnsi="Arial" w:cs="Arial"/>
                <w:sz w:val="22"/>
                <w:szCs w:val="22"/>
              </w:rPr>
            </w:pPr>
          </w:p>
          <w:p w:rsidR="006F6573" w:rsidRPr="00FD5B75" w:rsidRDefault="006F6573" w:rsidP="00502D22">
            <w:pPr>
              <w:pStyle w:val="ListParagraph"/>
              <w:spacing w:before="60" w:after="60"/>
              <w:ind w:left="0"/>
              <w:jc w:val="both"/>
              <w:rPr>
                <w:rFonts w:ascii="Arial" w:hAnsi="Arial" w:cs="Arial"/>
                <w:sz w:val="22"/>
                <w:szCs w:val="22"/>
              </w:rPr>
            </w:pPr>
          </w:p>
        </w:tc>
      </w:tr>
      <w:tr w:rsidR="006F6573" w:rsidRPr="00FD5B75" w:rsidTr="00502D22">
        <w:tc>
          <w:tcPr>
            <w:tcW w:w="10065" w:type="dxa"/>
            <w:shd w:val="clear" w:color="auto" w:fill="595959"/>
          </w:tcPr>
          <w:p w:rsidR="006F6573" w:rsidRPr="00FD5B75" w:rsidRDefault="006F6573" w:rsidP="00502D22">
            <w:pPr>
              <w:spacing w:after="0" w:line="276" w:lineRule="auto"/>
              <w:rPr>
                <w:rFonts w:ascii="Arial" w:hAnsi="Arial" w:cs="Arial"/>
                <w:b/>
                <w:color w:val="F79646"/>
                <w:sz w:val="22"/>
                <w:szCs w:val="22"/>
              </w:rPr>
            </w:pPr>
            <w:r w:rsidRPr="00FD5B75">
              <w:rPr>
                <w:rFonts w:ascii="Arial" w:hAnsi="Arial" w:cs="Arial"/>
                <w:b/>
                <w:color w:val="F79646"/>
                <w:sz w:val="22"/>
                <w:szCs w:val="22"/>
              </w:rPr>
              <w:lastRenderedPageBreak/>
              <w:t>4.</w:t>
            </w:r>
            <w:r w:rsidRPr="00FD5B75">
              <w:rPr>
                <w:rFonts w:ascii="Arial" w:hAnsi="Arial" w:cs="Arial"/>
                <w:b/>
                <w:color w:val="F79646"/>
                <w:sz w:val="22"/>
                <w:szCs w:val="22"/>
              </w:rPr>
              <w:tab/>
              <w:t>Applicable Service Standards</w:t>
            </w:r>
          </w:p>
        </w:tc>
      </w:tr>
      <w:tr w:rsidR="006F6573" w:rsidRPr="00FD5B75" w:rsidTr="00502D22">
        <w:tc>
          <w:tcPr>
            <w:tcW w:w="10065" w:type="dxa"/>
            <w:shd w:val="clear" w:color="auto" w:fill="auto"/>
          </w:tcPr>
          <w:p w:rsidR="006F6573" w:rsidRPr="00FD5B75" w:rsidRDefault="006F6573" w:rsidP="00502D22">
            <w:pPr>
              <w:spacing w:after="0"/>
              <w:rPr>
                <w:rFonts w:ascii="Arial" w:hAnsi="Arial" w:cs="Arial"/>
                <w:sz w:val="22"/>
                <w:szCs w:val="22"/>
              </w:rPr>
            </w:pPr>
          </w:p>
          <w:p w:rsidR="006F6573" w:rsidRPr="00FD5B75" w:rsidRDefault="006F6573" w:rsidP="00502D22">
            <w:pPr>
              <w:spacing w:after="0"/>
              <w:rPr>
                <w:rFonts w:ascii="Arial" w:hAnsi="Arial" w:cs="Arial"/>
                <w:b/>
                <w:color w:val="009966"/>
                <w:sz w:val="22"/>
                <w:szCs w:val="22"/>
              </w:rPr>
            </w:pPr>
            <w:r w:rsidRPr="00FD5B75">
              <w:rPr>
                <w:rFonts w:ascii="Arial" w:hAnsi="Arial" w:cs="Arial"/>
                <w:b/>
                <w:color w:val="009966"/>
                <w:sz w:val="22"/>
                <w:szCs w:val="22"/>
              </w:rPr>
              <w:t>4.1</w:t>
            </w:r>
            <w:r w:rsidRPr="00FD5B75">
              <w:rPr>
                <w:rFonts w:ascii="Arial" w:hAnsi="Arial" w:cs="Arial"/>
                <w:b/>
                <w:color w:val="009966"/>
                <w:sz w:val="22"/>
                <w:szCs w:val="22"/>
              </w:rPr>
              <w:tab/>
              <w:t>Applicable national standards (eg NICE)</w:t>
            </w:r>
          </w:p>
          <w:p w:rsidR="006F6573" w:rsidRPr="00FD5B75" w:rsidRDefault="006F6573" w:rsidP="00502D22">
            <w:pPr>
              <w:spacing w:after="0"/>
              <w:rPr>
                <w:rFonts w:ascii="Arial" w:hAnsi="Arial" w:cs="Arial"/>
                <w:color w:val="009966"/>
                <w:sz w:val="22"/>
                <w:szCs w:val="22"/>
              </w:rPr>
            </w:pPr>
          </w:p>
          <w:p w:rsidR="006F6573" w:rsidRPr="00FD5B75" w:rsidRDefault="006F6573" w:rsidP="00502D22">
            <w:pPr>
              <w:autoSpaceDE w:val="0"/>
              <w:autoSpaceDN w:val="0"/>
              <w:adjustRightInd w:val="0"/>
              <w:spacing w:after="0"/>
              <w:rPr>
                <w:rFonts w:ascii="Arial" w:hAnsi="Arial" w:cs="Arial"/>
                <w:color w:val="000000"/>
                <w:sz w:val="22"/>
                <w:szCs w:val="22"/>
                <w:lang w:val="en-GB" w:eastAsia="en-GB"/>
              </w:rPr>
            </w:pPr>
            <w:r w:rsidRPr="00FD5B75">
              <w:rPr>
                <w:rFonts w:ascii="Arial" w:hAnsi="Arial" w:cs="Arial"/>
                <w:bCs/>
                <w:color w:val="000000"/>
                <w:sz w:val="22"/>
                <w:szCs w:val="22"/>
                <w:lang w:val="en-GB" w:eastAsia="en-GB"/>
              </w:rPr>
              <w:t>NICE clinical guideline 85 (</w:t>
            </w:r>
            <w:r w:rsidRPr="00FD5B75">
              <w:rPr>
                <w:rFonts w:ascii="Arial" w:hAnsi="Arial" w:cs="Arial"/>
                <w:color w:val="000000"/>
                <w:sz w:val="22"/>
                <w:szCs w:val="22"/>
                <w:lang w:val="en-GB" w:eastAsia="en-GB"/>
              </w:rPr>
              <w:t>guidance.nice.org.uk/cg85)</w:t>
            </w:r>
          </w:p>
          <w:p w:rsidR="006F6573" w:rsidRPr="00FD5B75" w:rsidRDefault="006F6573" w:rsidP="00502D22">
            <w:pPr>
              <w:autoSpaceDE w:val="0"/>
              <w:autoSpaceDN w:val="0"/>
              <w:adjustRightInd w:val="0"/>
              <w:spacing w:after="0"/>
              <w:rPr>
                <w:rFonts w:ascii="Arial" w:hAnsi="Arial" w:cs="Arial"/>
                <w:color w:val="000000"/>
                <w:sz w:val="22"/>
                <w:szCs w:val="22"/>
                <w:lang w:val="en-GB" w:eastAsia="en-GB"/>
              </w:rPr>
            </w:pPr>
          </w:p>
          <w:p w:rsidR="006F6573" w:rsidRPr="00FD5B75" w:rsidRDefault="006F6573" w:rsidP="00502D22">
            <w:pPr>
              <w:spacing w:after="0"/>
              <w:rPr>
                <w:rFonts w:ascii="Arial" w:hAnsi="Arial" w:cs="Arial"/>
                <w:sz w:val="22"/>
                <w:szCs w:val="22"/>
              </w:rPr>
            </w:pPr>
            <w:r w:rsidRPr="00FD5B75">
              <w:rPr>
                <w:rFonts w:ascii="Arial" w:hAnsi="Arial" w:cs="Arial"/>
                <w:sz w:val="22"/>
                <w:szCs w:val="22"/>
              </w:rPr>
              <w:t xml:space="preserve">NICE Quality Standard on glaucoma QS;7 </w:t>
            </w:r>
            <w:hyperlink r:id="rId7" w:history="1">
              <w:r w:rsidRPr="00FD5B75">
                <w:rPr>
                  <w:rStyle w:val="Hyperlink"/>
                  <w:rFonts w:ascii="Arial" w:hAnsi="Arial" w:cs="Arial"/>
                  <w:sz w:val="22"/>
                  <w:szCs w:val="22"/>
                </w:rPr>
                <w:t>http://publications.nice.org.uk/glaucoma-quality-standard-qs7</w:t>
              </w:r>
            </w:hyperlink>
            <w:r w:rsidRPr="00FD5B75">
              <w:rPr>
                <w:rFonts w:ascii="Arial" w:hAnsi="Arial" w:cs="Arial"/>
                <w:sz w:val="22"/>
                <w:szCs w:val="22"/>
              </w:rPr>
              <w:t xml:space="preserve"> </w:t>
            </w:r>
          </w:p>
          <w:p w:rsidR="006F6573" w:rsidRPr="00FD5B75" w:rsidRDefault="006F6573" w:rsidP="00502D22">
            <w:pPr>
              <w:spacing w:after="0"/>
              <w:rPr>
                <w:rFonts w:ascii="Arial" w:hAnsi="Arial" w:cs="Arial"/>
                <w:color w:val="009966"/>
                <w:sz w:val="22"/>
                <w:szCs w:val="22"/>
              </w:rPr>
            </w:pPr>
          </w:p>
          <w:p w:rsidR="006F6573" w:rsidRPr="00FD5B75" w:rsidRDefault="006F6573" w:rsidP="00502D22">
            <w:pPr>
              <w:spacing w:after="0"/>
              <w:ind w:left="743" w:hanging="743"/>
              <w:rPr>
                <w:rFonts w:ascii="Arial" w:hAnsi="Arial" w:cs="Arial"/>
                <w:b/>
                <w:color w:val="009966"/>
                <w:sz w:val="22"/>
                <w:szCs w:val="22"/>
              </w:rPr>
            </w:pPr>
            <w:r w:rsidRPr="00FD5B75">
              <w:rPr>
                <w:rFonts w:ascii="Arial" w:hAnsi="Arial" w:cs="Arial"/>
                <w:b/>
                <w:color w:val="009966"/>
                <w:sz w:val="22"/>
                <w:szCs w:val="22"/>
              </w:rPr>
              <w:t>4.2</w:t>
            </w:r>
            <w:r w:rsidRPr="00FD5B75">
              <w:rPr>
                <w:rFonts w:ascii="Arial" w:hAnsi="Arial" w:cs="Arial"/>
                <w:b/>
                <w:color w:val="009966"/>
                <w:sz w:val="22"/>
                <w:szCs w:val="22"/>
              </w:rPr>
              <w:tab/>
              <w:t xml:space="preserve">Applicable standards set out in Guidance and/or issued by a competent body (eg Royal Colleges) </w:t>
            </w:r>
          </w:p>
          <w:p w:rsidR="006F6573" w:rsidRPr="00FD5B75" w:rsidRDefault="006F6573" w:rsidP="00502D22">
            <w:pPr>
              <w:spacing w:after="0"/>
              <w:ind w:left="743" w:hanging="743"/>
              <w:rPr>
                <w:rFonts w:ascii="Arial" w:hAnsi="Arial" w:cs="Arial"/>
                <w:sz w:val="22"/>
                <w:szCs w:val="22"/>
              </w:rPr>
            </w:pPr>
            <w:r w:rsidRPr="00FD5B75">
              <w:rPr>
                <w:rFonts w:ascii="Arial" w:hAnsi="Arial" w:cs="Arial"/>
                <w:sz w:val="22"/>
                <w:szCs w:val="22"/>
              </w:rPr>
              <w:t>N/A</w:t>
            </w:r>
          </w:p>
          <w:p w:rsidR="006F6573" w:rsidRPr="00FD5B75" w:rsidRDefault="006F6573" w:rsidP="00502D22">
            <w:pPr>
              <w:spacing w:after="0"/>
              <w:rPr>
                <w:rFonts w:ascii="Arial" w:hAnsi="Arial" w:cs="Arial"/>
                <w:color w:val="009966"/>
                <w:sz w:val="22"/>
                <w:szCs w:val="22"/>
              </w:rPr>
            </w:pPr>
          </w:p>
          <w:p w:rsidR="006F6573" w:rsidRPr="00FD5B75" w:rsidRDefault="006F6573" w:rsidP="00502D22">
            <w:pPr>
              <w:spacing w:after="0"/>
              <w:rPr>
                <w:rFonts w:ascii="Arial" w:hAnsi="Arial" w:cs="Arial"/>
                <w:b/>
                <w:color w:val="009966"/>
                <w:sz w:val="22"/>
                <w:szCs w:val="22"/>
              </w:rPr>
            </w:pPr>
            <w:r w:rsidRPr="00FD5B75">
              <w:rPr>
                <w:rFonts w:ascii="Arial" w:hAnsi="Arial" w:cs="Arial"/>
                <w:b/>
                <w:color w:val="009966"/>
                <w:sz w:val="22"/>
                <w:szCs w:val="22"/>
              </w:rPr>
              <w:t>4.3</w:t>
            </w:r>
            <w:r w:rsidRPr="00FD5B75">
              <w:rPr>
                <w:rFonts w:ascii="Arial" w:hAnsi="Arial" w:cs="Arial"/>
                <w:b/>
                <w:color w:val="009966"/>
                <w:sz w:val="22"/>
                <w:szCs w:val="22"/>
              </w:rPr>
              <w:tab/>
              <w:t>Applicable local standards</w:t>
            </w:r>
          </w:p>
          <w:p w:rsidR="006F6573" w:rsidRPr="00FD5B75" w:rsidRDefault="006F6573" w:rsidP="00502D22">
            <w:pPr>
              <w:spacing w:after="0"/>
              <w:rPr>
                <w:rFonts w:ascii="Arial" w:hAnsi="Arial" w:cs="Arial"/>
                <w:sz w:val="22"/>
                <w:szCs w:val="22"/>
              </w:rPr>
            </w:pPr>
          </w:p>
          <w:p w:rsidR="006F6573" w:rsidRPr="00FD5B75" w:rsidRDefault="006F6573" w:rsidP="00502D22">
            <w:pPr>
              <w:spacing w:after="0"/>
              <w:rPr>
                <w:rFonts w:ascii="Arial" w:hAnsi="Arial" w:cs="Arial"/>
                <w:sz w:val="22"/>
                <w:szCs w:val="22"/>
              </w:rPr>
            </w:pPr>
            <w:r w:rsidRPr="00FD5B75">
              <w:rPr>
                <w:rFonts w:ascii="Arial" w:hAnsi="Arial" w:cs="Arial"/>
                <w:sz w:val="22"/>
                <w:szCs w:val="22"/>
              </w:rPr>
              <w:t>N/A</w:t>
            </w:r>
          </w:p>
          <w:p w:rsidR="006F6573" w:rsidRDefault="006F6573" w:rsidP="00502D22">
            <w:pPr>
              <w:spacing w:after="0"/>
              <w:rPr>
                <w:rFonts w:ascii="Arial" w:hAnsi="Arial" w:cs="Arial"/>
                <w:sz w:val="22"/>
                <w:szCs w:val="22"/>
              </w:rPr>
            </w:pPr>
          </w:p>
          <w:p w:rsidR="006F6573" w:rsidRPr="004626A2" w:rsidRDefault="006F6573" w:rsidP="00502D22">
            <w:pPr>
              <w:spacing w:after="0"/>
              <w:jc w:val="both"/>
              <w:rPr>
                <w:rFonts w:ascii="Arial" w:hAnsi="Arial" w:cs="Arial"/>
                <w:color w:val="FF0000"/>
                <w:sz w:val="22"/>
                <w:szCs w:val="22"/>
              </w:rPr>
            </w:pPr>
            <w:r>
              <w:rPr>
                <w:rFonts w:ascii="Arial" w:hAnsi="Arial" w:cs="Arial"/>
                <w:sz w:val="22"/>
                <w:szCs w:val="22"/>
              </w:rPr>
              <w:t>T</w:t>
            </w:r>
            <w:r w:rsidRPr="004626A2">
              <w:rPr>
                <w:rFonts w:ascii="Arial" w:hAnsi="Arial" w:cs="Arial"/>
                <w:sz w:val="22"/>
                <w:szCs w:val="22"/>
              </w:rPr>
              <w:t>he CCG will require providers to assist with a patient questionnaire to establish the effectiveness of the service, and the patient experience</w:t>
            </w:r>
            <w:r w:rsidRPr="004626A2">
              <w:rPr>
                <w:rFonts w:ascii="Arial" w:hAnsi="Arial" w:cs="Arial"/>
                <w:color w:val="FF0000"/>
                <w:sz w:val="22"/>
                <w:szCs w:val="22"/>
              </w:rPr>
              <w:t>.</w:t>
            </w:r>
          </w:p>
          <w:p w:rsidR="006F6573" w:rsidRPr="00FD5B75" w:rsidRDefault="006F6573" w:rsidP="00502D22">
            <w:pPr>
              <w:spacing w:after="0"/>
              <w:rPr>
                <w:rFonts w:ascii="Arial" w:hAnsi="Arial" w:cs="Arial"/>
                <w:sz w:val="22"/>
                <w:szCs w:val="22"/>
              </w:rPr>
            </w:pPr>
          </w:p>
        </w:tc>
      </w:tr>
      <w:tr w:rsidR="006F6573" w:rsidRPr="00FD5B75" w:rsidTr="00502D22">
        <w:tc>
          <w:tcPr>
            <w:tcW w:w="10065" w:type="dxa"/>
            <w:shd w:val="clear" w:color="auto" w:fill="595959"/>
          </w:tcPr>
          <w:p w:rsidR="006F6573" w:rsidRPr="00FD5B75" w:rsidRDefault="006F6573" w:rsidP="00502D22">
            <w:pPr>
              <w:spacing w:after="0" w:line="276" w:lineRule="auto"/>
              <w:rPr>
                <w:rFonts w:ascii="Arial" w:hAnsi="Arial" w:cs="Arial"/>
                <w:b/>
                <w:color w:val="F79646"/>
                <w:sz w:val="22"/>
                <w:szCs w:val="22"/>
              </w:rPr>
            </w:pPr>
            <w:r w:rsidRPr="00FD5B75">
              <w:rPr>
                <w:rFonts w:ascii="Arial" w:hAnsi="Arial" w:cs="Arial"/>
                <w:b/>
                <w:color w:val="F79646"/>
                <w:sz w:val="22"/>
                <w:szCs w:val="22"/>
              </w:rPr>
              <w:t>5.</w:t>
            </w:r>
            <w:r w:rsidRPr="00FD5B75">
              <w:rPr>
                <w:rFonts w:ascii="Arial" w:hAnsi="Arial" w:cs="Arial"/>
                <w:b/>
                <w:color w:val="F79646"/>
                <w:sz w:val="22"/>
                <w:szCs w:val="22"/>
              </w:rPr>
              <w:tab/>
              <w:t>Applicable quality requirements and CQUIN goals</w:t>
            </w:r>
          </w:p>
        </w:tc>
      </w:tr>
      <w:tr w:rsidR="006F6573" w:rsidRPr="00FD5B75" w:rsidTr="00502D22">
        <w:tc>
          <w:tcPr>
            <w:tcW w:w="10065" w:type="dxa"/>
            <w:shd w:val="clear" w:color="auto" w:fill="auto"/>
          </w:tcPr>
          <w:p w:rsidR="006F6573" w:rsidRDefault="006F6573" w:rsidP="00502D22">
            <w:pPr>
              <w:pStyle w:val="ListParagraph"/>
              <w:ind w:left="360"/>
              <w:rPr>
                <w:rFonts w:ascii="Arial" w:hAnsi="Arial" w:cs="Arial"/>
                <w:b/>
                <w:color w:val="00B050"/>
                <w:sz w:val="22"/>
                <w:szCs w:val="22"/>
              </w:rPr>
            </w:pPr>
            <w:r w:rsidRPr="00FD5B75">
              <w:rPr>
                <w:rFonts w:ascii="Arial" w:hAnsi="Arial" w:cs="Arial"/>
                <w:b/>
                <w:color w:val="00B050"/>
                <w:sz w:val="22"/>
                <w:szCs w:val="22"/>
              </w:rPr>
              <w:t xml:space="preserve">      </w:t>
            </w:r>
          </w:p>
          <w:p w:rsidR="006F6573" w:rsidRPr="00FD5B75" w:rsidRDefault="006F6573" w:rsidP="006F6573">
            <w:pPr>
              <w:pStyle w:val="ListParagraph"/>
              <w:numPr>
                <w:ilvl w:val="1"/>
                <w:numId w:val="8"/>
              </w:numPr>
              <w:rPr>
                <w:rFonts w:ascii="Arial" w:hAnsi="Arial" w:cs="Arial"/>
                <w:b/>
                <w:color w:val="00B050"/>
                <w:sz w:val="22"/>
                <w:szCs w:val="22"/>
              </w:rPr>
            </w:pPr>
            <w:r w:rsidRPr="00FD5B75">
              <w:rPr>
                <w:rFonts w:ascii="Arial" w:hAnsi="Arial" w:cs="Arial"/>
                <w:b/>
                <w:color w:val="00B050"/>
                <w:sz w:val="22"/>
                <w:szCs w:val="22"/>
              </w:rPr>
              <w:t xml:space="preserve">Applicable quality requirements </w:t>
            </w:r>
          </w:p>
          <w:p w:rsidR="006F6573" w:rsidRPr="00FD5B75" w:rsidRDefault="006F6573" w:rsidP="00502D22">
            <w:pPr>
              <w:pStyle w:val="ListParagraph"/>
              <w:ind w:left="0"/>
              <w:rPr>
                <w:rFonts w:ascii="Arial" w:hAnsi="Arial" w:cs="Arial"/>
                <w:b/>
                <w:color w:val="00B050"/>
                <w:sz w:val="22"/>
                <w:szCs w:val="22"/>
              </w:rPr>
            </w:pPr>
          </w:p>
          <w:p w:rsidR="006F6573" w:rsidRPr="00FD5B75" w:rsidRDefault="006F6573" w:rsidP="00502D22">
            <w:pPr>
              <w:pStyle w:val="ListParagraph"/>
              <w:ind w:left="0"/>
              <w:rPr>
                <w:rFonts w:ascii="Arial" w:hAnsi="Arial" w:cs="Arial"/>
                <w:sz w:val="22"/>
                <w:szCs w:val="22"/>
              </w:rPr>
            </w:pPr>
            <w:r w:rsidRPr="00FD5B75">
              <w:rPr>
                <w:rFonts w:ascii="Arial" w:hAnsi="Arial" w:cs="Arial"/>
                <w:sz w:val="22"/>
                <w:szCs w:val="22"/>
              </w:rPr>
              <w:t>(These are subject to final approval and will appear in Schedule 4 of the Contract [Parts A-D])</w:t>
            </w:r>
          </w:p>
          <w:p w:rsidR="006F6573" w:rsidRPr="00FD5B75" w:rsidRDefault="006F6573" w:rsidP="00502D22">
            <w:pPr>
              <w:pStyle w:val="ListParagraph"/>
              <w:ind w:left="0"/>
              <w:rPr>
                <w:rFonts w:ascii="Arial" w:hAnsi="Arial" w:cs="Arial"/>
                <w:sz w:val="22"/>
                <w:szCs w:val="22"/>
              </w:rPr>
            </w:pPr>
          </w:p>
          <w:p w:rsidR="006F6573" w:rsidRPr="00FD5B75" w:rsidRDefault="006F6573" w:rsidP="006F6573">
            <w:pPr>
              <w:pStyle w:val="ListParagraph"/>
              <w:numPr>
                <w:ilvl w:val="0"/>
                <w:numId w:val="1"/>
              </w:numPr>
              <w:rPr>
                <w:rFonts w:ascii="Arial" w:hAnsi="Arial" w:cs="Arial"/>
                <w:sz w:val="22"/>
                <w:szCs w:val="22"/>
              </w:rPr>
            </w:pPr>
            <w:r w:rsidRPr="00FD5B75">
              <w:rPr>
                <w:rFonts w:ascii="Arial" w:hAnsi="Arial" w:cs="Arial"/>
                <w:sz w:val="22"/>
                <w:szCs w:val="22"/>
              </w:rPr>
              <w:t>All patients will be offered an appointment in line with the appropriate interval determined by the Consultant Ophthalmologist</w:t>
            </w:r>
          </w:p>
          <w:p w:rsidR="006F6573" w:rsidRPr="00FD5B75" w:rsidRDefault="006F6573" w:rsidP="006F6573">
            <w:pPr>
              <w:pStyle w:val="ListParagraph"/>
              <w:numPr>
                <w:ilvl w:val="0"/>
                <w:numId w:val="1"/>
              </w:numPr>
              <w:rPr>
                <w:rFonts w:ascii="Arial" w:hAnsi="Arial" w:cs="Arial"/>
                <w:sz w:val="22"/>
                <w:szCs w:val="22"/>
              </w:rPr>
            </w:pPr>
            <w:r w:rsidRPr="00FD5B75">
              <w:rPr>
                <w:rFonts w:ascii="Arial" w:hAnsi="Arial" w:cs="Arial"/>
                <w:sz w:val="22"/>
                <w:szCs w:val="22"/>
              </w:rPr>
              <w:t>All patients who miss two consecutive appointments will have a letter informing the registered GP.</w:t>
            </w:r>
          </w:p>
          <w:p w:rsidR="006F6573" w:rsidRPr="00FD5B75" w:rsidRDefault="006F6573" w:rsidP="006F6573">
            <w:pPr>
              <w:pStyle w:val="ListParagraph"/>
              <w:numPr>
                <w:ilvl w:val="0"/>
                <w:numId w:val="1"/>
              </w:numPr>
              <w:rPr>
                <w:rFonts w:ascii="Arial" w:hAnsi="Arial" w:cs="Arial"/>
                <w:sz w:val="22"/>
                <w:szCs w:val="22"/>
              </w:rPr>
            </w:pPr>
            <w:r w:rsidRPr="00FD5B75">
              <w:rPr>
                <w:rFonts w:ascii="Arial" w:hAnsi="Arial" w:cs="Arial"/>
                <w:sz w:val="22"/>
                <w:szCs w:val="22"/>
              </w:rPr>
              <w:t>All patients will have a timely follow up, where they ‘did not attend’ (DNA).</w:t>
            </w:r>
          </w:p>
          <w:p w:rsidR="006F6573" w:rsidRPr="00FD5B75" w:rsidRDefault="006F6573" w:rsidP="006F6573">
            <w:pPr>
              <w:numPr>
                <w:ilvl w:val="0"/>
                <w:numId w:val="1"/>
              </w:numPr>
              <w:jc w:val="both"/>
              <w:rPr>
                <w:rFonts w:ascii="Arial" w:hAnsi="Arial" w:cs="Arial"/>
                <w:b/>
                <w:sz w:val="22"/>
                <w:szCs w:val="22"/>
              </w:rPr>
            </w:pPr>
            <w:r w:rsidRPr="00FD5B75">
              <w:rPr>
                <w:rFonts w:ascii="Arial" w:hAnsi="Arial" w:cs="Arial"/>
                <w:sz w:val="22"/>
                <w:szCs w:val="22"/>
              </w:rPr>
              <w:t>The contractor will undertake an annual patient survey as directed by the CCG, and aim to meet stipulated targets for patient satisfaction.</w:t>
            </w:r>
          </w:p>
          <w:p w:rsidR="006F6573" w:rsidRPr="00FD5B75" w:rsidRDefault="006F6573" w:rsidP="006F6573">
            <w:pPr>
              <w:pStyle w:val="ListParagraph"/>
              <w:numPr>
                <w:ilvl w:val="1"/>
                <w:numId w:val="8"/>
              </w:numPr>
              <w:rPr>
                <w:rFonts w:ascii="Arial" w:hAnsi="Arial" w:cs="Arial"/>
                <w:b/>
                <w:color w:val="00B050"/>
                <w:sz w:val="22"/>
                <w:szCs w:val="22"/>
              </w:rPr>
            </w:pPr>
            <w:r w:rsidRPr="00FD5B75">
              <w:rPr>
                <w:rFonts w:ascii="Arial" w:hAnsi="Arial" w:cs="Arial"/>
                <w:b/>
                <w:color w:val="00B050"/>
                <w:sz w:val="22"/>
                <w:szCs w:val="22"/>
              </w:rPr>
              <w:t xml:space="preserve">       Applicable CQUIN goals (See Schedule 4 Part E)</w:t>
            </w:r>
          </w:p>
          <w:p w:rsidR="006F6573" w:rsidRPr="00FD5B75" w:rsidRDefault="006F6573" w:rsidP="00502D22">
            <w:pPr>
              <w:pStyle w:val="ListParagraph"/>
              <w:ind w:left="743"/>
              <w:rPr>
                <w:rFonts w:ascii="Arial" w:hAnsi="Arial" w:cs="Arial"/>
                <w:b/>
                <w:color w:val="00B050"/>
                <w:sz w:val="22"/>
                <w:szCs w:val="22"/>
              </w:rPr>
            </w:pPr>
          </w:p>
          <w:p w:rsidR="006F6573" w:rsidRPr="00FD5B75" w:rsidRDefault="006F6573" w:rsidP="00502D22">
            <w:pPr>
              <w:spacing w:after="0"/>
              <w:ind w:left="743" w:hanging="743"/>
              <w:rPr>
                <w:rFonts w:ascii="Arial" w:hAnsi="Arial" w:cs="Arial"/>
                <w:sz w:val="22"/>
                <w:szCs w:val="22"/>
              </w:rPr>
            </w:pPr>
            <w:r w:rsidRPr="00FD5B75">
              <w:rPr>
                <w:rFonts w:ascii="Arial" w:hAnsi="Arial" w:cs="Arial"/>
                <w:sz w:val="22"/>
                <w:szCs w:val="22"/>
              </w:rPr>
              <w:t>N/A</w:t>
            </w:r>
          </w:p>
          <w:p w:rsidR="006F6573" w:rsidRPr="00FD5B75" w:rsidRDefault="006F6573" w:rsidP="00502D22">
            <w:pPr>
              <w:spacing w:after="0"/>
              <w:ind w:left="743" w:hanging="743"/>
              <w:rPr>
                <w:rFonts w:ascii="Arial" w:hAnsi="Arial" w:cs="Arial"/>
                <w:sz w:val="22"/>
                <w:szCs w:val="22"/>
              </w:rPr>
            </w:pPr>
          </w:p>
        </w:tc>
      </w:tr>
    </w:tbl>
    <w:p w:rsidR="00681109" w:rsidRDefault="00681109">
      <w:bookmarkStart w:id="1" w:name="_GoBack"/>
      <w:bookmarkEnd w:id="1"/>
    </w:p>
    <w:sectPr w:rsidR="006811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573" w:rsidRDefault="006F6573" w:rsidP="006F6573">
      <w:pPr>
        <w:spacing w:after="0"/>
      </w:pPr>
      <w:r>
        <w:separator/>
      </w:r>
    </w:p>
  </w:endnote>
  <w:endnote w:type="continuationSeparator" w:id="0">
    <w:p w:rsidR="006F6573" w:rsidRDefault="006F6573" w:rsidP="006F65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573" w:rsidRDefault="006F6573" w:rsidP="006F6573">
      <w:pPr>
        <w:spacing w:after="0"/>
      </w:pPr>
      <w:r>
        <w:separator/>
      </w:r>
    </w:p>
  </w:footnote>
  <w:footnote w:type="continuationSeparator" w:id="0">
    <w:p w:rsidR="006F6573" w:rsidRDefault="006F6573" w:rsidP="006F6573">
      <w:pPr>
        <w:spacing w:after="0"/>
      </w:pPr>
      <w:r>
        <w:continuationSeparator/>
      </w:r>
    </w:p>
  </w:footnote>
  <w:footnote w:id="1">
    <w:p w:rsidR="006F6573" w:rsidRPr="00FE690E" w:rsidRDefault="006F6573" w:rsidP="006F6573">
      <w:pPr>
        <w:pStyle w:val="FootnoteText"/>
        <w:rPr>
          <w:sz w:val="20"/>
          <w:szCs w:val="20"/>
        </w:rPr>
      </w:pPr>
      <w:r w:rsidRPr="00FE690E">
        <w:rPr>
          <w:rStyle w:val="FootnoteReference"/>
          <w:sz w:val="20"/>
          <w:szCs w:val="20"/>
        </w:rPr>
        <w:footnoteRef/>
      </w:r>
      <w:r w:rsidRPr="00FE690E">
        <w:rPr>
          <w:sz w:val="20"/>
          <w:szCs w:val="20"/>
        </w:rPr>
        <w:t xml:space="preserve"> “Commissioning better eye care”, The Royal College of Ophthalmologists</w:t>
      </w:r>
      <w:r>
        <w:rPr>
          <w:sz w:val="20"/>
          <w:szCs w:val="20"/>
        </w:rPr>
        <w:t>, 2013</w:t>
      </w:r>
    </w:p>
  </w:footnote>
  <w:footnote w:id="2">
    <w:p w:rsidR="006F6573" w:rsidRDefault="006F6573" w:rsidP="006F6573">
      <w:pPr>
        <w:pStyle w:val="FootnoteText"/>
        <w:rPr>
          <w:sz w:val="20"/>
          <w:szCs w:val="20"/>
        </w:rPr>
      </w:pPr>
      <w:r w:rsidRPr="001141E7">
        <w:rPr>
          <w:rStyle w:val="FootnoteReference"/>
          <w:sz w:val="20"/>
          <w:szCs w:val="20"/>
        </w:rPr>
        <w:footnoteRef/>
      </w:r>
      <w:r w:rsidRPr="001141E7">
        <w:rPr>
          <w:sz w:val="20"/>
          <w:szCs w:val="20"/>
        </w:rPr>
        <w:t xml:space="preserve"> Refer to Joint Supplementary College guidance on Supervision, Dec 2010</w:t>
      </w:r>
    </w:p>
    <w:p w:rsidR="006F6573" w:rsidRDefault="006F6573" w:rsidP="006F6573">
      <w:pPr>
        <w:pStyle w:val="FootnoteText"/>
        <w:rPr>
          <w:sz w:val="20"/>
          <w:szCs w:val="20"/>
        </w:rPr>
      </w:pPr>
      <w:hyperlink r:id="rId1" w:history="1">
        <w:r w:rsidRPr="00003F56">
          <w:rPr>
            <w:rStyle w:val="Hyperlink"/>
            <w:sz w:val="20"/>
            <w:szCs w:val="20"/>
          </w:rPr>
          <w:t>http://www.rcophth.ac.uk/page.asp?section=484&amp;sectionTitle=Current+Issues+in+Glaucoma</w:t>
        </w:r>
      </w:hyperlink>
    </w:p>
    <w:p w:rsidR="006F6573" w:rsidRPr="001141E7" w:rsidRDefault="006F6573" w:rsidP="006F6573">
      <w:pPr>
        <w:pStyle w:val="FootnoteText"/>
        <w:rPr>
          <w:sz w:val="20"/>
          <w:szCs w:val="20"/>
        </w:rPr>
      </w:pPr>
    </w:p>
  </w:footnote>
  <w:footnote w:id="3">
    <w:p w:rsidR="006F6573" w:rsidRPr="0044279D" w:rsidRDefault="006F6573" w:rsidP="006F6573">
      <w:pPr>
        <w:pStyle w:val="FootnoteText"/>
        <w:rPr>
          <w:sz w:val="20"/>
          <w:szCs w:val="20"/>
        </w:rPr>
      </w:pPr>
      <w:r>
        <w:rPr>
          <w:rStyle w:val="FootnoteReference"/>
        </w:rPr>
        <w:footnoteRef/>
      </w:r>
      <w:r>
        <w:t xml:space="preserve"> </w:t>
      </w:r>
      <w:r w:rsidRPr="0044279D">
        <w:rPr>
          <w:sz w:val="20"/>
          <w:szCs w:val="20"/>
        </w:rPr>
        <w:t>Contracts will not be put in place with Providers until the consultant has given the CCG assurances around suitability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0D5"/>
    <w:multiLevelType w:val="hybridMultilevel"/>
    <w:tmpl w:val="146C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B588C"/>
    <w:multiLevelType w:val="hybridMultilevel"/>
    <w:tmpl w:val="5E567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91B72"/>
    <w:multiLevelType w:val="hybridMultilevel"/>
    <w:tmpl w:val="25E6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1221645"/>
    <w:multiLevelType w:val="hybridMultilevel"/>
    <w:tmpl w:val="838A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F28AE"/>
    <w:multiLevelType w:val="hybridMultilevel"/>
    <w:tmpl w:val="AAE6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A2388"/>
    <w:multiLevelType w:val="hybridMultilevel"/>
    <w:tmpl w:val="9286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91492"/>
    <w:multiLevelType w:val="hybridMultilevel"/>
    <w:tmpl w:val="DB34D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2705E"/>
    <w:multiLevelType w:val="hybridMultilevel"/>
    <w:tmpl w:val="35B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07137"/>
    <w:multiLevelType w:val="multilevel"/>
    <w:tmpl w:val="4B184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B22EFC"/>
    <w:multiLevelType w:val="hybridMultilevel"/>
    <w:tmpl w:val="7E7E4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7"/>
  </w:num>
  <w:num w:numId="6">
    <w:abstractNumId w:val="10"/>
  </w:num>
  <w:num w:numId="7">
    <w:abstractNumId w:val="2"/>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73"/>
    <w:rsid w:val="00681109"/>
    <w:rsid w:val="006F6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AEF5-0237-4419-8A5F-B80AFC30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573"/>
    <w:pPr>
      <w:spacing w:after="200"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6573"/>
    <w:rPr>
      <w:color w:val="0000FF"/>
      <w:u w:val="single"/>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6F6573"/>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6F6573"/>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6F6573"/>
    <w:pPr>
      <w:spacing w:after="0"/>
    </w:pPr>
    <w:rPr>
      <w:rFonts w:ascii="Times New Roman" w:eastAsia="Times New Roman" w:hAnsi="Times New Roman" w:cs="Times New Roman"/>
      <w:szCs w:val="24"/>
      <w:lang w:val="en-GB" w:eastAsia="en-US"/>
    </w:rPr>
  </w:style>
  <w:style w:type="character" w:customStyle="1" w:styleId="FootnoteTextChar1">
    <w:name w:val="Footnote Text Char1"/>
    <w:basedOn w:val="DefaultParagraphFont"/>
    <w:uiPriority w:val="99"/>
    <w:semiHidden/>
    <w:rsid w:val="006F6573"/>
    <w:rPr>
      <w:rFonts w:eastAsiaTheme="minorEastAsia"/>
      <w:sz w:val="20"/>
      <w:szCs w:val="20"/>
      <w:lang w:val="en-US" w:eastAsia="ja-JP"/>
    </w:rPr>
  </w:style>
  <w:style w:type="paragraph" w:customStyle="1" w:styleId="Default">
    <w:name w:val="Default"/>
    <w:rsid w:val="006F6573"/>
    <w:pPr>
      <w:autoSpaceDE w:val="0"/>
      <w:autoSpaceDN w:val="0"/>
      <w:adjustRightInd w:val="0"/>
      <w:spacing w:after="0" w:line="240" w:lineRule="auto"/>
    </w:pPr>
    <w:rPr>
      <w:rFonts w:ascii="Syntax" w:eastAsia="MS ??" w:hAnsi="Syntax" w:cs="Syntax"/>
      <w:color w:val="000000"/>
      <w:sz w:val="24"/>
      <w:szCs w:val="24"/>
      <w:lang w:eastAsia="en-GB"/>
    </w:rPr>
  </w:style>
  <w:style w:type="paragraph" w:styleId="NoSpacing">
    <w:name w:val="No Spacing"/>
    <w:uiPriority w:val="1"/>
    <w:qFormat/>
    <w:rsid w:val="006F6573"/>
    <w:pPr>
      <w:spacing w:after="0" w:line="240" w:lineRule="auto"/>
    </w:pPr>
    <w:rPr>
      <w:rFonts w:eastAsiaTheme="minorEastAsia"/>
      <w:sz w:val="24"/>
      <w:szCs w:val="20"/>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F6573"/>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6F6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s.nice.org.uk/glaucoma-quality-standard-qs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cophth.ac.uk/page.asp?section=484&amp;sectionTitle=Current+Issues+in+Glauc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Hale-Tait Louise</dc:creator>
  <cp:keywords/>
  <dc:description/>
  <cp:lastModifiedBy>Hale-Tait Louise</cp:lastModifiedBy>
  <cp:revision>1</cp:revision>
  <dcterms:created xsi:type="dcterms:W3CDTF">2022-02-22T12:18:00Z</dcterms:created>
  <dcterms:modified xsi:type="dcterms:W3CDTF">2022-02-22T12:19:00Z</dcterms:modified>
</cp:coreProperties>
</file>